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99E2" w14:textId="77777777" w:rsidR="005C4037" w:rsidRDefault="005C4037" w:rsidP="009D7312">
      <w:pPr>
        <w:spacing w:before="0" w:after="0" w:line="23" w:lineRule="atLeast"/>
        <w:rPr>
          <w:rFonts w:cstheme="minorHAnsi"/>
          <w:b/>
          <w:color w:val="00A0DD"/>
          <w:sz w:val="40"/>
          <w:szCs w:val="40"/>
        </w:rPr>
      </w:pPr>
      <w:bookmarkStart w:id="0" w:name="_GoBack"/>
      <w:bookmarkEnd w:id="0"/>
    </w:p>
    <w:p w14:paraId="7DF64897" w14:textId="77777777" w:rsidR="00A137BB" w:rsidRPr="005C4037" w:rsidRDefault="005C4037" w:rsidP="009D7312">
      <w:pPr>
        <w:spacing w:before="0" w:after="0" w:line="23" w:lineRule="atLeast"/>
        <w:rPr>
          <w:rFonts w:cstheme="minorHAnsi"/>
          <w:b/>
          <w:color w:val="00A0DD"/>
          <w:sz w:val="40"/>
          <w:szCs w:val="40"/>
        </w:rPr>
      </w:pPr>
      <w:r>
        <w:rPr>
          <w:rFonts w:cstheme="minorHAnsi"/>
          <w:b/>
          <w:color w:val="00A0DD"/>
          <w:sz w:val="40"/>
          <w:szCs w:val="40"/>
        </w:rPr>
        <w:t>Historiek Green Key</w:t>
      </w:r>
    </w:p>
    <w:p w14:paraId="6C4BD2B9" w14:textId="77777777" w:rsidR="005C4037" w:rsidRDefault="005C4037" w:rsidP="005C4037">
      <w:pPr>
        <w:pStyle w:val="Titlesmall"/>
        <w:rPr>
          <w:rFonts w:cstheme="minorHAnsi"/>
          <w:lang w:val="nl" w:eastAsia="nl-BE"/>
        </w:rPr>
      </w:pPr>
    </w:p>
    <w:p w14:paraId="33DFE570" w14:textId="77777777" w:rsidR="005C4037" w:rsidRPr="005C4037" w:rsidRDefault="005C4037" w:rsidP="005C4037">
      <w:pPr>
        <w:pStyle w:val="Titlesmall"/>
        <w:rPr>
          <w:rFonts w:cstheme="minorHAnsi"/>
          <w:lang w:val="nl" w:eastAsia="nl-BE"/>
        </w:rPr>
      </w:pPr>
      <w:r w:rsidRPr="005C4037">
        <w:rPr>
          <w:rFonts w:cstheme="minorHAnsi"/>
          <w:lang w:val="nl" w:eastAsia="nl-BE"/>
        </w:rPr>
        <w:t>Geschiedenis in Europa</w:t>
      </w:r>
    </w:p>
    <w:p w14:paraId="2F71D89F" w14:textId="77777777" w:rsidR="005C4037" w:rsidRPr="005C4037" w:rsidRDefault="005C4037" w:rsidP="005C4037">
      <w:pPr>
        <w:jc w:val="both"/>
        <w:rPr>
          <w:highlight w:val="white"/>
          <w:lang w:val="nl" w:eastAsia="nl-BE"/>
        </w:rPr>
      </w:pPr>
      <w:r w:rsidRPr="005C4037">
        <w:rPr>
          <w:highlight w:val="white"/>
          <w:lang w:val="nl" w:eastAsia="nl-BE"/>
        </w:rPr>
        <w:t>Green Key werd opgestart in Denemarken in 1994. In eerste instantie was het gericht op de hotelsector. Vier jaar later, in</w:t>
      </w:r>
      <w:r>
        <w:rPr>
          <w:highlight w:val="white"/>
          <w:lang w:val="nl" w:eastAsia="nl-BE"/>
        </w:rPr>
        <w:t xml:space="preserve"> 1998, trad Frankrijk toe tot </w:t>
      </w:r>
      <w:r w:rsidRPr="005C4037">
        <w:rPr>
          <w:highlight w:val="white"/>
          <w:lang w:val="nl" w:eastAsia="nl-BE"/>
        </w:rPr>
        <w:t>Green Key en werd gestart met het labelen van kampeerterreinen. Vandaag zijn er criteria vastgelegd voor hotels, campings, jeugdherbergen, vakantiewoningen en B&amp;B’s, attracties, restaurants, recreatiedomeinen en congrescentra.</w:t>
      </w:r>
    </w:p>
    <w:p w14:paraId="3D902AEC" w14:textId="77777777" w:rsidR="005C4037" w:rsidRDefault="005C4037" w:rsidP="005C4037">
      <w:pPr>
        <w:jc w:val="both"/>
        <w:rPr>
          <w:lang w:val="nl" w:eastAsia="nl-BE"/>
        </w:rPr>
      </w:pPr>
      <w:r w:rsidRPr="005C4037">
        <w:rPr>
          <w:lang w:val="nl" w:eastAsia="nl-BE"/>
        </w:rPr>
        <w:t>Intussen bezitten 2.700 toeristische ondernemingen uit 56 land</w:t>
      </w:r>
      <w:r>
        <w:rPr>
          <w:lang w:val="nl" w:eastAsia="nl-BE"/>
        </w:rPr>
        <w:t>en het internationale ecolabel Green Key</w:t>
      </w:r>
      <w:r w:rsidRPr="005C4037">
        <w:rPr>
          <w:lang w:val="nl" w:eastAsia="nl-BE"/>
        </w:rPr>
        <w:t xml:space="preserve"> omdat ze ecologisch en duurzaam ondernemen. De ondernemingen worden jaarlijks gecontroleerd.</w:t>
      </w:r>
    </w:p>
    <w:p w14:paraId="5ECB6D6F" w14:textId="77777777" w:rsidR="005C4037" w:rsidRPr="005C4037" w:rsidRDefault="005C4037" w:rsidP="005C4037">
      <w:pPr>
        <w:jc w:val="both"/>
        <w:rPr>
          <w:rFonts w:eastAsia="Verdana" w:cstheme="minorHAnsi"/>
          <w:color w:val="000000"/>
          <w:sz w:val="20"/>
          <w:szCs w:val="20"/>
          <w:lang w:val="nl" w:eastAsia="nl-BE"/>
        </w:rPr>
      </w:pPr>
    </w:p>
    <w:p w14:paraId="3D322307" w14:textId="77777777" w:rsidR="005C4037" w:rsidRPr="005C4037" w:rsidRDefault="005C4037" w:rsidP="005C4037">
      <w:pPr>
        <w:pStyle w:val="Titlesmall"/>
        <w:rPr>
          <w:rFonts w:cstheme="minorHAnsi"/>
          <w:color w:val="41A845"/>
          <w:szCs w:val="24"/>
          <w:lang w:val="nl" w:eastAsia="nl-BE"/>
        </w:rPr>
      </w:pPr>
      <w:bookmarkStart w:id="1" w:name="_jc1yr3wxah2a" w:colFirst="0" w:colLast="0"/>
      <w:bookmarkEnd w:id="1"/>
      <w:r w:rsidRPr="005C4037">
        <w:rPr>
          <w:rFonts w:cstheme="minorHAnsi"/>
          <w:lang w:val="nl" w:eastAsia="nl-BE"/>
        </w:rPr>
        <w:t>Geschiedenis in Vlaanderen</w:t>
      </w:r>
    </w:p>
    <w:p w14:paraId="47768601" w14:textId="77777777" w:rsidR="005C4037" w:rsidRPr="005C4037" w:rsidRDefault="005C4037" w:rsidP="005C4037">
      <w:pPr>
        <w:jc w:val="both"/>
        <w:rPr>
          <w:highlight w:val="white"/>
          <w:lang w:val="nl" w:eastAsia="nl-BE"/>
        </w:rPr>
      </w:pPr>
      <w:r w:rsidRPr="005C4037">
        <w:rPr>
          <w:highlight w:val="white"/>
          <w:lang w:val="nl" w:eastAsia="nl-BE"/>
        </w:rPr>
        <w:t>In Vlaanderen dateren de eerste stappen in de ontwikkeling van een ecolabel voor de recreatieve sector (toeristische accommodaties en recreatiedomeinen) van 2000. Het initiatief kwam vanuit de private sector en meer bepaald de camping- en de dagrecreatieve sector. In juli 2004 kreeg het proces van de ontwikkeling van een ecolabel concre</w:t>
      </w:r>
      <w:r>
        <w:rPr>
          <w:highlight w:val="white"/>
          <w:lang w:val="nl" w:eastAsia="nl-BE"/>
        </w:rPr>
        <w:t>et vorm door het pilootproject Green Key</w:t>
      </w:r>
      <w:r w:rsidRPr="005C4037">
        <w:rPr>
          <w:highlight w:val="white"/>
          <w:lang w:val="nl" w:eastAsia="nl-BE"/>
        </w:rPr>
        <w:t>.</w:t>
      </w:r>
    </w:p>
    <w:p w14:paraId="28FFB2A0" w14:textId="77777777" w:rsidR="005C4037" w:rsidRPr="005C4037" w:rsidRDefault="005C4037" w:rsidP="005C4037">
      <w:pPr>
        <w:jc w:val="both"/>
        <w:rPr>
          <w:lang w:val="nl" w:eastAsia="nl-BE"/>
        </w:rPr>
      </w:pPr>
      <w:r w:rsidRPr="005C4037">
        <w:rPr>
          <w:lang w:val="nl" w:eastAsia="nl-BE"/>
        </w:rPr>
        <w:t xml:space="preserve">De initiatiefnemers van dit pilootproject waren: Kempen Campings (groepering van 36 kampeerterreinen en verblijfscentra in de Kempen), Vlaanderen Is Recreatie (groepering van recreatiecentra in Vlaanderen) en Bond Beter Leefmilieu. </w:t>
      </w:r>
    </w:p>
    <w:p w14:paraId="74746AEE" w14:textId="77777777" w:rsidR="005C4037" w:rsidRPr="005C4037" w:rsidRDefault="005C4037" w:rsidP="005C4037">
      <w:pPr>
        <w:jc w:val="both"/>
        <w:rPr>
          <w:lang w:val="nl" w:eastAsia="nl-BE"/>
        </w:rPr>
      </w:pPr>
      <w:r w:rsidRPr="005C4037">
        <w:rPr>
          <w:lang w:val="nl" w:eastAsia="nl-BE"/>
        </w:rPr>
        <w:t xml:space="preserve">Toerisme Vlaanderen, Toerisme Provincie Antwerpen en OVAM (Openbare afvalstoffenmaatschappij van het Vlaamse Gewest) steunden het project. In de loop van het project werd ook Campingfederatie CKVB betrokken bij het proces. </w:t>
      </w:r>
    </w:p>
    <w:p w14:paraId="31371F41" w14:textId="77777777" w:rsidR="005C4037" w:rsidRPr="005C4037" w:rsidRDefault="005C4037" w:rsidP="005C4037">
      <w:pPr>
        <w:jc w:val="both"/>
        <w:rPr>
          <w:lang w:val="nl" w:eastAsia="nl-BE"/>
        </w:rPr>
      </w:pPr>
      <w:r w:rsidRPr="005C4037">
        <w:rPr>
          <w:lang w:val="nl" w:eastAsia="nl-BE"/>
        </w:rPr>
        <w:t xml:space="preserve">CKVB (nu RECREAD genoemd) was vertegenwoordigd in de stuurgroep en een aantal leden van CKVB fungeerden ook als pilootbedrijf. De initiatiefnemers wensten milieuverantwoord recreatief ondernemen te stimuleren via een regionaal pilootproject in de Kempen rond ecolabeling van recreatiedomeinen. Het pilootproject liep 15 maanden, van juli 2004 tot november 2005 en werd gefinancierd door het Presti 5-programma van de Vlaamse overheid. In 2016 werd de mogelijkheid onder de loep genomen om de nieuwe categorie restaurants in de werking te integreren en internationale criteria te vertalen naar een Vlaamse context. In 2017 werden die criteria verder verfijnd en operationeel gemaakt en werden i.s.m. Horeca Vlaanderen vijf testkandidaten gezocht die het parcours een eerste keer zouden doorlopen. </w:t>
      </w:r>
    </w:p>
    <w:p w14:paraId="0381AF71" w14:textId="6E2BCA81" w:rsidR="00C73314" w:rsidRDefault="005C4037" w:rsidP="00D952E3">
      <w:pPr>
        <w:rPr>
          <w:b/>
          <w:color w:val="00B050"/>
          <w:sz w:val="36"/>
        </w:rPr>
      </w:pPr>
      <w:r w:rsidRPr="005C4037">
        <w:rPr>
          <w:lang w:val="nl" w:eastAsia="nl-BE"/>
        </w:rPr>
        <w:lastRenderedPageBreak/>
        <w:t>Toerisme Vlaanderen erkent de waarde van ecolabels in het proces van een duurzame toeristische ontwikkeling. Meer nog, Toerisme Vlaanderen is overtuigd dat een ecolabel bijdraagt tot een algemene kwaliteitsverhoging van de logiessector bovenop het bestaande classificatieschema én dat het positieve imago van Vlaanderen in het buitenland versterkt. Toerisme Vlaanderen was dan ook bereid om dit project verder te ondersteunen en de operationalisering van de Green Key in Vlaanderen mogelijk te maken.</w:t>
      </w:r>
      <w:bookmarkStart w:id="2" w:name="_3ss8v4kfe6i1" w:colFirst="0" w:colLast="0"/>
      <w:bookmarkEnd w:id="2"/>
      <w:r w:rsidR="00C73314" w:rsidRPr="00C73314">
        <w:rPr>
          <w:b/>
          <w:color w:val="00B050"/>
          <w:sz w:val="36"/>
        </w:rPr>
        <w:t xml:space="preserve"> </w:t>
      </w:r>
    </w:p>
    <w:p w14:paraId="213421AC" w14:textId="77777777" w:rsidR="00C73314" w:rsidRDefault="00C73314" w:rsidP="00C73314">
      <w:pPr>
        <w:jc w:val="center"/>
        <w:rPr>
          <w:b/>
          <w:color w:val="00B050"/>
          <w:sz w:val="36"/>
        </w:rPr>
      </w:pPr>
    </w:p>
    <w:p w14:paraId="67FC8FFC" w14:textId="77777777" w:rsidR="00C73314" w:rsidRDefault="00C73314" w:rsidP="00C73314">
      <w:pPr>
        <w:jc w:val="center"/>
        <w:rPr>
          <w:b/>
          <w:color w:val="00B050"/>
          <w:sz w:val="36"/>
        </w:rPr>
      </w:pPr>
      <w:r>
        <w:rPr>
          <w:noProof/>
          <w:lang w:val="fr-BE" w:eastAsia="fr-BE"/>
        </w:rPr>
        <w:drawing>
          <wp:inline distT="0" distB="0" distL="0" distR="0" wp14:anchorId="5F0619BA" wp14:editId="0815DFCC">
            <wp:extent cx="5500688" cy="3000375"/>
            <wp:effectExtent l="0" t="0" r="508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CA1D8" w14:textId="77777777" w:rsidR="00C73314" w:rsidRDefault="00C73314" w:rsidP="00C73314">
      <w:pPr>
        <w:jc w:val="center"/>
        <w:rPr>
          <w:b/>
          <w:color w:val="00B050"/>
          <w:sz w:val="36"/>
        </w:rPr>
      </w:pPr>
    </w:p>
    <w:p w14:paraId="4E49B981" w14:textId="77777777" w:rsidR="00C73314" w:rsidRDefault="00C73314" w:rsidP="00C73314">
      <w:pPr>
        <w:jc w:val="center"/>
        <w:rPr>
          <w:b/>
          <w:color w:val="00B050"/>
          <w:sz w:val="36"/>
        </w:rPr>
      </w:pPr>
      <w:r>
        <w:rPr>
          <w:noProof/>
          <w:lang w:val="fr-BE" w:eastAsia="fr-BE"/>
        </w:rPr>
        <w:drawing>
          <wp:inline distT="0" distB="0" distL="0" distR="0" wp14:anchorId="4A3745D0" wp14:editId="457E18F3">
            <wp:extent cx="5756910" cy="2887980"/>
            <wp:effectExtent l="0" t="0" r="152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5E6220" w14:textId="77777777" w:rsidR="00C73314" w:rsidRDefault="00C73314" w:rsidP="00C73314">
      <w:pPr>
        <w:jc w:val="center"/>
        <w:rPr>
          <w:b/>
          <w:color w:val="00B050"/>
          <w:sz w:val="36"/>
        </w:rPr>
      </w:pPr>
    </w:p>
    <w:p w14:paraId="28E764C8" w14:textId="77777777" w:rsidR="00C73314" w:rsidRDefault="00C73314" w:rsidP="00C73314">
      <w:pPr>
        <w:jc w:val="center"/>
        <w:rPr>
          <w:b/>
          <w:color w:val="00B050"/>
          <w:sz w:val="36"/>
        </w:rPr>
      </w:pPr>
      <w:r>
        <w:rPr>
          <w:noProof/>
          <w:lang w:val="fr-BE" w:eastAsia="fr-BE"/>
        </w:rPr>
        <w:lastRenderedPageBreak/>
        <w:drawing>
          <wp:inline distT="0" distB="0" distL="0" distR="0" wp14:anchorId="118FFAB2" wp14:editId="5B913F07">
            <wp:extent cx="5756910" cy="3228975"/>
            <wp:effectExtent l="0" t="0" r="1524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120993" w14:textId="77777777" w:rsidR="00C73314" w:rsidRDefault="00C73314" w:rsidP="00C73314">
      <w:pPr>
        <w:jc w:val="center"/>
        <w:rPr>
          <w:b/>
          <w:color w:val="00B050"/>
          <w:sz w:val="36"/>
        </w:rPr>
      </w:pPr>
    </w:p>
    <w:p w14:paraId="0FA88EE8" w14:textId="778AD54B" w:rsidR="00D952E3" w:rsidRPr="00D952E3" w:rsidRDefault="00D952E3" w:rsidP="00D952E3">
      <w:pPr>
        <w:pStyle w:val="Titlesmall"/>
        <w:rPr>
          <w:rFonts w:cstheme="minorHAnsi"/>
          <w:lang w:eastAsia="nl-BE"/>
        </w:rPr>
      </w:pPr>
      <w:r>
        <w:rPr>
          <w:rFonts w:cstheme="minorHAnsi"/>
          <w:lang w:eastAsia="nl-BE"/>
        </w:rPr>
        <w:t>Overname GoodPlanet</w:t>
      </w:r>
    </w:p>
    <w:p w14:paraId="3D863271" w14:textId="77777777" w:rsidR="005C4037" w:rsidRPr="005C4037" w:rsidRDefault="005C4037" w:rsidP="005C4037">
      <w:pPr>
        <w:jc w:val="both"/>
        <w:rPr>
          <w:lang w:val="nl" w:eastAsia="nl-BE"/>
        </w:rPr>
      </w:pPr>
      <w:r>
        <w:rPr>
          <w:lang w:val="nl" w:eastAsia="nl-BE"/>
        </w:rPr>
        <w:t xml:space="preserve">Het label </w:t>
      </w:r>
      <w:r w:rsidRPr="005C4037">
        <w:rPr>
          <w:lang w:val="nl" w:eastAsia="nl-BE"/>
        </w:rPr>
        <w:t>Green Key wordt vanaf 2018 uitgedragen door GoodPlanet, een organisatie die</w:t>
      </w:r>
      <w:r w:rsidR="00991B59">
        <w:rPr>
          <w:lang w:val="nl" w:eastAsia="nl-BE"/>
        </w:rPr>
        <w:t xml:space="preserve"> jong en oud inspireert om een duurzame samenleving te realiseren.</w:t>
      </w:r>
      <w:r w:rsidRPr="005C4037">
        <w:rPr>
          <w:lang w:val="nl" w:eastAsia="nl-BE"/>
        </w:rPr>
        <w:t xml:space="preserve"> </w:t>
      </w:r>
      <w:r>
        <w:rPr>
          <w:lang w:val="nl" w:eastAsia="nl-BE"/>
        </w:rPr>
        <w:t xml:space="preserve">In 2017 nam GoodPlanet </w:t>
      </w:r>
      <w:r w:rsidRPr="005C4037">
        <w:rPr>
          <w:lang w:val="nl" w:eastAsia="nl-BE"/>
        </w:rPr>
        <w:t>Blauwe Vlag over, een ander programma van de Foundation for Envi</w:t>
      </w:r>
      <w:r>
        <w:rPr>
          <w:lang w:val="nl" w:eastAsia="nl-BE"/>
        </w:rPr>
        <w:t xml:space="preserve">ronmental Education. </w:t>
      </w:r>
      <w:r w:rsidRPr="005C4037">
        <w:rPr>
          <w:lang w:val="nl" w:eastAsia="nl-BE"/>
        </w:rPr>
        <w:t>Blauwe Vlag beloont duurzame stranden en zwem</w:t>
      </w:r>
      <w:r>
        <w:rPr>
          <w:lang w:val="nl" w:eastAsia="nl-BE"/>
        </w:rPr>
        <w:t xml:space="preserve">vijvers met een label, zoals </w:t>
      </w:r>
      <w:r w:rsidRPr="005C4037">
        <w:rPr>
          <w:lang w:val="nl" w:eastAsia="nl-BE"/>
        </w:rPr>
        <w:t xml:space="preserve">Green Key dat doet voor de logiessector, attracties, meetinglocaties en restaurants. </w:t>
      </w:r>
    </w:p>
    <w:p w14:paraId="6049FC54" w14:textId="77777777" w:rsidR="005C4037" w:rsidRPr="005C4037" w:rsidRDefault="005C4037" w:rsidP="005C4037">
      <w:pPr>
        <w:jc w:val="both"/>
        <w:rPr>
          <w:lang w:val="nl" w:eastAsia="nl-BE"/>
        </w:rPr>
      </w:pPr>
      <w:r w:rsidRPr="005C4037">
        <w:rPr>
          <w:lang w:val="nl" w:eastAsia="nl-BE"/>
        </w:rPr>
        <w:t>Voormalig Green Key programmator</w:t>
      </w:r>
      <w:r w:rsidR="00991B59">
        <w:rPr>
          <w:lang w:val="nl" w:eastAsia="nl-BE"/>
        </w:rPr>
        <w:t xml:space="preserve"> Bond Beter Leefmilieu heeft </w:t>
      </w:r>
      <w:r w:rsidRPr="005C4037">
        <w:rPr>
          <w:lang w:val="nl" w:eastAsia="nl-BE"/>
        </w:rPr>
        <w:t>Green Key altijd als een buitenbeentje van hun werking beschouwd, temeer omdat zij als koepel van de milieu</w:t>
      </w:r>
      <w:r w:rsidR="00991B59">
        <w:rPr>
          <w:lang w:val="nl" w:eastAsia="nl-BE"/>
        </w:rPr>
        <w:t xml:space="preserve">sector geen link hebben met </w:t>
      </w:r>
      <w:r w:rsidRPr="005C4037">
        <w:rPr>
          <w:lang w:val="nl" w:eastAsia="nl-BE"/>
        </w:rPr>
        <w:t>duurzaam toerisme. Dat GoodPlanet het roer nu overneemt, maakt dat de Green Key haar koers verder kan varen met méér interne ondersteuning en met een duidelijker</w:t>
      </w:r>
      <w:r w:rsidR="00991B59">
        <w:rPr>
          <w:lang w:val="nl" w:eastAsia="nl-BE"/>
        </w:rPr>
        <w:t>e</w:t>
      </w:r>
      <w:r w:rsidRPr="005C4037">
        <w:rPr>
          <w:lang w:val="nl" w:eastAsia="nl-BE"/>
        </w:rPr>
        <w:t xml:space="preserve"> toekomstvisie.</w:t>
      </w:r>
    </w:p>
    <w:p w14:paraId="11621635" w14:textId="77777777" w:rsidR="005C4037" w:rsidRPr="00D952E3" w:rsidRDefault="003C5B41" w:rsidP="003C5B41">
      <w:pPr>
        <w:pStyle w:val="Titlelarge"/>
        <w:rPr>
          <w:lang w:val="en-GB" w:eastAsia="nl-BE"/>
        </w:rPr>
      </w:pPr>
      <w:r w:rsidRPr="00D952E3">
        <w:rPr>
          <w:lang w:val="en-GB" w:eastAsia="nl-BE"/>
        </w:rPr>
        <w:br/>
      </w:r>
      <w:r w:rsidR="005C4037" w:rsidRPr="00D952E3">
        <w:rPr>
          <w:lang w:val="en-GB" w:eastAsia="nl-BE"/>
        </w:rPr>
        <w:t>Q&amp;A</w:t>
      </w:r>
    </w:p>
    <w:p w14:paraId="7AFAB41C" w14:textId="77777777" w:rsidR="003C5B41" w:rsidRPr="00D952E3" w:rsidRDefault="003C5B41" w:rsidP="003C5B41">
      <w:pPr>
        <w:pStyle w:val="Lijstalinea"/>
        <w:ind w:left="768"/>
        <w:jc w:val="both"/>
        <w:rPr>
          <w:lang w:val="en-GB"/>
        </w:rPr>
      </w:pPr>
      <w:bookmarkStart w:id="3" w:name="_tldghpvleq6h" w:colFirst="0" w:colLast="0"/>
      <w:bookmarkEnd w:id="3"/>
    </w:p>
    <w:p w14:paraId="7EDC9399" w14:textId="77777777" w:rsidR="003C5B41" w:rsidRPr="00D952E3" w:rsidRDefault="003C5B41" w:rsidP="003C5B41">
      <w:pPr>
        <w:pStyle w:val="Titlesmall"/>
        <w:rPr>
          <w:rFonts w:cstheme="minorHAnsi"/>
          <w:lang w:val="en-GB" w:eastAsia="nl-BE"/>
        </w:rPr>
      </w:pPr>
      <w:r w:rsidRPr="00D952E3">
        <w:rPr>
          <w:rFonts w:cstheme="minorHAnsi"/>
          <w:lang w:val="en-GB" w:eastAsia="nl-BE"/>
        </w:rPr>
        <w:t>Wat is Green Key?</w:t>
      </w:r>
    </w:p>
    <w:p w14:paraId="6F17577B" w14:textId="77777777" w:rsidR="003C5B41" w:rsidRPr="00D952E3" w:rsidRDefault="003C5B41" w:rsidP="003C5B41">
      <w:pPr>
        <w:jc w:val="both"/>
        <w:rPr>
          <w:b/>
          <w:lang w:val="en-GB"/>
        </w:rPr>
      </w:pPr>
    </w:p>
    <w:p w14:paraId="6D83F01C" w14:textId="77777777" w:rsidR="003C5B41" w:rsidRDefault="003C5B41" w:rsidP="003C5B41">
      <w:pPr>
        <w:jc w:val="both"/>
        <w:rPr>
          <w:b/>
        </w:rPr>
      </w:pPr>
      <w:r w:rsidRPr="00BA24F8">
        <w:rPr>
          <w:b/>
        </w:rPr>
        <w:t>E</w:t>
      </w:r>
      <w:r>
        <w:rPr>
          <w:b/>
        </w:rPr>
        <w:t>EN INTERNATIONAAL ECOLABEL VOOR</w:t>
      </w:r>
      <w:r w:rsidRPr="00BA24F8">
        <w:rPr>
          <w:b/>
        </w:rPr>
        <w:t xml:space="preserve"> TOERISME &amp; VRIJETIJDSBESTEDING</w:t>
      </w:r>
    </w:p>
    <w:p w14:paraId="799F47B2" w14:textId="77777777" w:rsidR="003C5B41" w:rsidRPr="00BA24F8" w:rsidRDefault="003C5B41" w:rsidP="003C5B41">
      <w:pPr>
        <w:jc w:val="both"/>
        <w:rPr>
          <w:b/>
        </w:rPr>
      </w:pPr>
    </w:p>
    <w:p w14:paraId="6E8E7CA9" w14:textId="77777777" w:rsidR="003C5B41" w:rsidRDefault="003C5B41" w:rsidP="003C5B41">
      <w:pPr>
        <w:pStyle w:val="Lijstalinea"/>
        <w:numPr>
          <w:ilvl w:val="0"/>
          <w:numId w:val="2"/>
        </w:numPr>
        <w:jc w:val="both"/>
      </w:pPr>
      <w:r>
        <w:t>Internationaal: Green Key is een wereldwijd label dat op vijf continenten en in 57 landen vertegenwoordigd is, van België tot Zuid-Afrika. Bijna 3000 locaties hebben het label behaald.</w:t>
      </w:r>
    </w:p>
    <w:p w14:paraId="6B51491E" w14:textId="77777777" w:rsidR="003C5B41" w:rsidRDefault="003C5B41" w:rsidP="003C5B41">
      <w:pPr>
        <w:pStyle w:val="Lijstalinea"/>
        <w:jc w:val="both"/>
      </w:pPr>
    </w:p>
    <w:p w14:paraId="286EE921" w14:textId="77777777" w:rsidR="003C5B41" w:rsidRDefault="003C5B41" w:rsidP="003C5B41">
      <w:pPr>
        <w:pStyle w:val="Lijstalinea"/>
        <w:jc w:val="both"/>
      </w:pPr>
    </w:p>
    <w:p w14:paraId="41F259C0" w14:textId="77777777" w:rsidR="003C5B41" w:rsidRDefault="003C5B41" w:rsidP="003C5B41">
      <w:pPr>
        <w:pStyle w:val="Lijstalinea"/>
        <w:numPr>
          <w:ilvl w:val="0"/>
          <w:numId w:val="2"/>
        </w:numPr>
        <w:jc w:val="both"/>
      </w:pPr>
      <w:proofErr w:type="spellStart"/>
      <w:r>
        <w:t>Ecolabel</w:t>
      </w:r>
      <w:proofErr w:type="spellEnd"/>
      <w:r>
        <w:t xml:space="preserve">: Green </w:t>
      </w:r>
      <w:proofErr w:type="spellStart"/>
      <w:r>
        <w:t>Key</w:t>
      </w:r>
      <w:proofErr w:type="spellEnd"/>
      <w:r>
        <w:t xml:space="preserve"> is het eerste kwaliteitslabel dat duurzaam reizen, vergaderen en ontspannen in de verf zet. Onze Green Key uitbaters gaan voluit voor een duurzame wereld. Wie een Green Key locatie bezoekt of boekt kan erop rekenen dat de planeet er wel bij vaart, zonder in te boeten aan comfort of betaalbaarheid.</w:t>
      </w:r>
    </w:p>
    <w:p w14:paraId="0969EE86" w14:textId="77777777" w:rsidR="003C5B41" w:rsidRDefault="003C5B41" w:rsidP="003C5B41">
      <w:pPr>
        <w:pStyle w:val="Lijstalinea"/>
      </w:pPr>
    </w:p>
    <w:p w14:paraId="3FF04101" w14:textId="77777777" w:rsidR="003C5B41" w:rsidRDefault="003C5B41" w:rsidP="003C5B41">
      <w:pPr>
        <w:pStyle w:val="Lijstalinea"/>
        <w:jc w:val="both"/>
      </w:pPr>
    </w:p>
    <w:p w14:paraId="7EFA9149" w14:textId="77777777" w:rsidR="003C5B41" w:rsidRDefault="003C5B41" w:rsidP="003C5B41">
      <w:pPr>
        <w:pStyle w:val="Lijstalinea"/>
        <w:numPr>
          <w:ilvl w:val="0"/>
          <w:numId w:val="2"/>
        </w:numPr>
        <w:jc w:val="both"/>
      </w:pPr>
      <w:r>
        <w:t xml:space="preserve">Toerisme en vrijetijdsbesteding: tegenwoordig kunnen zowel attracties, </w:t>
      </w:r>
      <w:proofErr w:type="spellStart"/>
      <w:r>
        <w:t>B&amp;B’s</w:t>
      </w:r>
      <w:proofErr w:type="spellEnd"/>
      <w:r>
        <w:t xml:space="preserve"> en vakantiewoningen, campings, jeugdherbergen en hotels, vakantiecentra en -parken als restaurants en meeting centers een Green Key behalen. Voor elk wat </w:t>
      </w:r>
      <w:proofErr w:type="spellStart"/>
      <w:r>
        <w:t>wils</w:t>
      </w:r>
      <w:proofErr w:type="spellEnd"/>
      <w:r>
        <w:t xml:space="preserve">! </w:t>
      </w:r>
    </w:p>
    <w:p w14:paraId="6DA49A1F" w14:textId="77777777" w:rsidR="003C5B41" w:rsidRPr="00292EF0" w:rsidRDefault="003C5B41" w:rsidP="003C5B41">
      <w:pPr>
        <w:jc w:val="both"/>
        <w:rPr>
          <w:b/>
        </w:rPr>
      </w:pPr>
      <w:r>
        <w:rPr>
          <w:b/>
        </w:rPr>
        <w:tab/>
      </w:r>
    </w:p>
    <w:p w14:paraId="5EB99A29" w14:textId="77777777" w:rsidR="003C5B41" w:rsidRDefault="003C5B41" w:rsidP="003C5B41">
      <w:pPr>
        <w:pStyle w:val="Titlesmall"/>
        <w:rPr>
          <w:rFonts w:cstheme="minorHAnsi"/>
          <w:lang w:val="nl" w:eastAsia="nl-BE"/>
        </w:rPr>
      </w:pPr>
      <w:r>
        <w:rPr>
          <w:rFonts w:cstheme="minorHAnsi"/>
          <w:lang w:val="nl" w:eastAsia="nl-BE"/>
        </w:rPr>
        <w:t>Waarom Green Key?</w:t>
      </w:r>
    </w:p>
    <w:p w14:paraId="115BFD53" w14:textId="77777777" w:rsidR="003C5B41" w:rsidRDefault="003C5B41" w:rsidP="003C5B41"/>
    <w:p w14:paraId="1112183F" w14:textId="77777777" w:rsidR="003C5B41" w:rsidRPr="00055646" w:rsidRDefault="003C5B41" w:rsidP="003C5B41">
      <w:pPr>
        <w:rPr>
          <w:b/>
          <w:sz w:val="22"/>
        </w:rPr>
      </w:pPr>
      <w:r>
        <w:rPr>
          <w:b/>
        </w:rPr>
        <w:t>TRANSPARANT KWALITEITSLABEL DAT DUURZAAMHEID OP DE KAART ZET</w:t>
      </w:r>
    </w:p>
    <w:p w14:paraId="7E38DA1C" w14:textId="77777777" w:rsidR="003C5B41" w:rsidRDefault="003C5B41" w:rsidP="003C5B41">
      <w:pPr>
        <w:pStyle w:val="Lijstalinea"/>
        <w:jc w:val="both"/>
      </w:pPr>
      <w:r>
        <w:t>Green Key beloont uitbaters die hun steentje bijdragen aan een sociaalecologisch rechtvaardige samenleving. Wij zetten hen letterlijk en figuurlijk op de kaart, zodat toeristen hun weg ernaartoe vinden.</w:t>
      </w:r>
    </w:p>
    <w:p w14:paraId="66147156" w14:textId="77777777" w:rsidR="003C5B41" w:rsidRDefault="003C5B41" w:rsidP="003C5B41">
      <w:pPr>
        <w:pStyle w:val="Lijstalinea"/>
        <w:jc w:val="both"/>
      </w:pPr>
    </w:p>
    <w:p w14:paraId="394CD22D" w14:textId="77777777" w:rsidR="003C5B41" w:rsidRDefault="003C5B41" w:rsidP="003C5B41">
      <w:pPr>
        <w:pStyle w:val="Lijstalinea"/>
        <w:jc w:val="both"/>
      </w:pPr>
      <w:r>
        <w:t xml:space="preserve">Green Key uitbaters zijn nu al conform met de wetgeving van de toekomst, die steeds strenger wordt wat milieunormen betreft. Duurzaamheid wordt in de toekomst het enige rendabele model, wat Green Key eigenaars nu al een voorsprong en </w:t>
      </w:r>
      <w:proofErr w:type="spellStart"/>
      <w:r>
        <w:t>unique</w:t>
      </w:r>
      <w:proofErr w:type="spellEnd"/>
      <w:r>
        <w:t xml:space="preserve"> </w:t>
      </w:r>
      <w:proofErr w:type="spellStart"/>
      <w:r>
        <w:t>selling</w:t>
      </w:r>
      <w:proofErr w:type="spellEnd"/>
      <w:r>
        <w:t xml:space="preserve"> point oplevert.  </w:t>
      </w:r>
    </w:p>
    <w:p w14:paraId="5327CB55" w14:textId="77777777" w:rsidR="003C5B41" w:rsidRDefault="003C5B41" w:rsidP="003C5B41">
      <w:pPr>
        <w:pStyle w:val="Lijstalinea"/>
        <w:jc w:val="both"/>
      </w:pPr>
    </w:p>
    <w:p w14:paraId="38B0648E" w14:textId="77777777" w:rsidR="003C5B41" w:rsidRDefault="003C5B41" w:rsidP="003C5B41">
      <w:pPr>
        <w:jc w:val="both"/>
        <w:rPr>
          <w:b/>
        </w:rPr>
      </w:pPr>
      <w:r>
        <w:rPr>
          <w:b/>
        </w:rPr>
        <w:t>KRACHTIG INSTRUMENT OM ONZE ECOLOGISCHE VOETAFDRUK IN TE DIJKEN</w:t>
      </w:r>
    </w:p>
    <w:p w14:paraId="620E6BE8" w14:textId="77777777" w:rsidR="003C5B41" w:rsidRPr="00982646" w:rsidRDefault="003C5B41" w:rsidP="003C5B41">
      <w:pPr>
        <w:ind w:left="708"/>
        <w:jc w:val="both"/>
      </w:pPr>
      <w:r w:rsidRPr="00055646">
        <w:t>Green Key</w:t>
      </w:r>
      <w:r>
        <w:rPr>
          <w:b/>
        </w:rPr>
        <w:t xml:space="preserve"> </w:t>
      </w:r>
      <w:r w:rsidRPr="00055646">
        <w:rPr>
          <w:b/>
        </w:rPr>
        <w:t xml:space="preserve">ondersteunt en verenigt </w:t>
      </w:r>
      <w:r>
        <w:t>uitbaters die hun organisatie willen verduurzamen.  ervaringen kunnen delen. Green Key houdt hen op de hoogte van nieuwe duurzame praktijken in de brede toeristische sector. En uitbaters delen hun ervaringen in het Green Key netwerk.</w:t>
      </w:r>
    </w:p>
    <w:p w14:paraId="5E4E98B1" w14:textId="77777777" w:rsidR="003C5B41" w:rsidRDefault="003C5B41" w:rsidP="003C5B41">
      <w:pPr>
        <w:ind w:left="708"/>
        <w:jc w:val="both"/>
      </w:pPr>
      <w:r w:rsidRPr="00055646">
        <w:t>Green Key</w:t>
      </w:r>
      <w:r>
        <w:rPr>
          <w:b/>
        </w:rPr>
        <w:t xml:space="preserve"> </w:t>
      </w:r>
      <w:r>
        <w:t xml:space="preserve">biedt een kader voor </w:t>
      </w:r>
      <w:r w:rsidRPr="00055646">
        <w:rPr>
          <w:b/>
        </w:rPr>
        <w:t>duurzaam ondernemen</w:t>
      </w:r>
      <w:r>
        <w:t xml:space="preserve">. Elke Green Key uitbater moet op vlak van management (personeel, administratie, communicatie, beleid), afval, energie, voeding, mobiliteit, energie en schoonmaak aan hoge standaarden voldoen. </w:t>
      </w:r>
    </w:p>
    <w:p w14:paraId="0844B058" w14:textId="77777777" w:rsidR="003C5B41" w:rsidRDefault="003C5B41" w:rsidP="003C5B41">
      <w:pPr>
        <w:ind w:left="708"/>
        <w:jc w:val="both"/>
      </w:pPr>
      <w:r w:rsidRPr="00055646">
        <w:t>Green Key</w:t>
      </w:r>
      <w:r>
        <w:rPr>
          <w:b/>
        </w:rPr>
        <w:t xml:space="preserve"> </w:t>
      </w:r>
      <w:r>
        <w:t xml:space="preserve">garandeert de klant dat de gekozen </w:t>
      </w:r>
      <w:r w:rsidRPr="00055646">
        <w:rPr>
          <w:b/>
        </w:rPr>
        <w:t>Green Key accommodatie</w:t>
      </w:r>
      <w:r>
        <w:t xml:space="preserve"> haar ecologische voetafdruk systematisch laag houdt. Wie als </w:t>
      </w:r>
      <w:proofErr w:type="spellStart"/>
      <w:r>
        <w:t>vrijetijdsbesteder</w:t>
      </w:r>
      <w:proofErr w:type="spellEnd"/>
      <w:r>
        <w:t xml:space="preserve"> rekening wil houden met de ‘houdbaarheid’ van onze planeet, kan met een gerust hart in een Green Key locatie terecht.</w:t>
      </w:r>
    </w:p>
    <w:p w14:paraId="4E2DE4FA" w14:textId="77777777" w:rsidR="003C5B41" w:rsidRDefault="003C5B41" w:rsidP="003C5B41">
      <w:pPr>
        <w:ind w:left="708"/>
        <w:jc w:val="both"/>
      </w:pPr>
      <w:r w:rsidRPr="00055646">
        <w:t>Green Key</w:t>
      </w:r>
      <w:r>
        <w:t xml:space="preserve"> streeft naar </w:t>
      </w:r>
      <w:r w:rsidRPr="00055646">
        <w:rPr>
          <w:b/>
        </w:rPr>
        <w:t>klimaatneutraliteit</w:t>
      </w:r>
      <w:r>
        <w:t xml:space="preserve"> in de hele sector van (zakelijk) toerisme en vrijetijdsbesteding: zowel zaakvoerders, personeel, leveranciers, klanten, burgers, steden/gemeenten en overheden. Toerisme en vrijetijdsbesteding hangen in hoge mate af van ons leefmilieu. We moeten er alles aan doen om dat leefmilieu te sparen; de habitat van de ‘homo </w:t>
      </w:r>
      <w:proofErr w:type="spellStart"/>
      <w:r>
        <w:t>touristicus</w:t>
      </w:r>
      <w:proofErr w:type="spellEnd"/>
      <w:r>
        <w:t>’.</w:t>
      </w:r>
    </w:p>
    <w:p w14:paraId="51B62FD3" w14:textId="77777777" w:rsidR="003C5B41" w:rsidRPr="00AB7F9A" w:rsidRDefault="003C5B41" w:rsidP="003C5B41">
      <w:pPr>
        <w:ind w:left="708"/>
        <w:jc w:val="both"/>
      </w:pPr>
    </w:p>
    <w:p w14:paraId="555585CC" w14:textId="77777777" w:rsidR="003C5B41" w:rsidRPr="003C5B41" w:rsidRDefault="003C5B41" w:rsidP="003C5B41">
      <w:pPr>
        <w:pStyle w:val="Titlesmall"/>
        <w:rPr>
          <w:rFonts w:cstheme="minorHAnsi"/>
          <w:lang w:val="nl" w:eastAsia="nl-BE"/>
        </w:rPr>
      </w:pPr>
      <w:r w:rsidRPr="005C4037">
        <w:rPr>
          <w:rFonts w:cstheme="minorHAnsi"/>
          <w:lang w:val="nl" w:eastAsia="nl-BE"/>
        </w:rPr>
        <w:lastRenderedPageBreak/>
        <w:t>Aan welke criteria moeten uitbaters voldoen?</w:t>
      </w:r>
      <w:r w:rsidRPr="005C4037">
        <w:rPr>
          <w:rFonts w:cstheme="minorHAnsi"/>
          <w:lang w:val="nl" w:eastAsia="nl-BE"/>
        </w:rPr>
        <w:br/>
      </w:r>
    </w:p>
    <w:p w14:paraId="4CFABC46" w14:textId="77777777" w:rsidR="003C5B41" w:rsidRDefault="003C5B41" w:rsidP="003C5B41">
      <w:pPr>
        <w:jc w:val="both"/>
      </w:pPr>
      <w:r>
        <w:t>Green Key staat garant voor kwaliteit en duurzaamheid. Wie een Green Key behaalt, engageert zich om op dertien domeinen inspanningen te leveren:</w:t>
      </w:r>
    </w:p>
    <w:p w14:paraId="4A15A91D"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Registratie van water- en energieverbruik</w:t>
      </w:r>
    </w:p>
    <w:p w14:paraId="3C0595A7"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Verklaring van maatschappelijk verantwoord ondernemen met actieplan</w:t>
      </w:r>
    </w:p>
    <w:p w14:paraId="3D4AF286"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Pr>
          <w:rFonts w:ascii="Verdana" w:eastAsia="Times New Roman" w:hAnsi="Verdana" w:cs="Times New Roman"/>
          <w:color w:val="3D3D3D"/>
          <w:sz w:val="20"/>
          <w:szCs w:val="20"/>
          <w:lang w:eastAsia="nl-BE"/>
        </w:rPr>
        <w:t>Invoeren van w</w:t>
      </w:r>
      <w:r w:rsidRPr="00E4349A">
        <w:rPr>
          <w:rFonts w:ascii="Verdana" w:eastAsia="Times New Roman" w:hAnsi="Verdana" w:cs="Times New Roman"/>
          <w:color w:val="3D3D3D"/>
          <w:sz w:val="20"/>
          <w:szCs w:val="20"/>
          <w:lang w:eastAsia="nl-BE"/>
        </w:rPr>
        <w:t>ater- en energi</w:t>
      </w:r>
      <w:r>
        <w:rPr>
          <w:rFonts w:ascii="Verdana" w:eastAsia="Times New Roman" w:hAnsi="Verdana" w:cs="Times New Roman"/>
          <w:color w:val="3D3D3D"/>
          <w:sz w:val="20"/>
          <w:szCs w:val="20"/>
          <w:lang w:eastAsia="nl-BE"/>
        </w:rPr>
        <w:t>ebesparende maatregelen</w:t>
      </w:r>
    </w:p>
    <w:p w14:paraId="7F46C3C3"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Afvalpreventie en -sortering</w:t>
      </w:r>
    </w:p>
    <w:p w14:paraId="58D0FBCF"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Gasten aanzetten om de milieu</w:t>
      </w:r>
      <w:r>
        <w:rPr>
          <w:rFonts w:ascii="Verdana" w:eastAsia="Times New Roman" w:hAnsi="Verdana" w:cs="Times New Roman"/>
          <w:color w:val="3D3D3D"/>
          <w:sz w:val="20"/>
          <w:szCs w:val="20"/>
          <w:lang w:eastAsia="nl-BE"/>
        </w:rPr>
        <w:t>-</w:t>
      </w:r>
      <w:r w:rsidRPr="00E4349A">
        <w:rPr>
          <w:rFonts w:ascii="Verdana" w:eastAsia="Times New Roman" w:hAnsi="Verdana" w:cs="Times New Roman"/>
          <w:color w:val="3D3D3D"/>
          <w:sz w:val="20"/>
          <w:szCs w:val="20"/>
          <w:lang w:eastAsia="nl-BE"/>
        </w:rPr>
        <w:t>impact van hun verblijf te beperken</w:t>
      </w:r>
    </w:p>
    <w:p w14:paraId="64592AA9"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Aandacht voor groenonderhoud</w:t>
      </w:r>
    </w:p>
    <w:p w14:paraId="4BC675E7" w14:textId="77777777" w:rsidR="003C5B41" w:rsidRPr="00E4349A" w:rsidRDefault="003C5B41" w:rsidP="003C5B41">
      <w:pPr>
        <w:numPr>
          <w:ilvl w:val="0"/>
          <w:numId w:val="3"/>
        </w:numPr>
        <w:shd w:val="clear" w:color="auto" w:fill="FFFFFF"/>
        <w:spacing w:before="0" w:after="0" w:line="293" w:lineRule="atLeast"/>
        <w:rPr>
          <w:rFonts w:ascii="Verdana" w:eastAsia="Times New Roman" w:hAnsi="Verdana" w:cs="Times New Roman"/>
          <w:color w:val="3D3D3D"/>
          <w:sz w:val="20"/>
          <w:szCs w:val="20"/>
          <w:lang w:eastAsia="nl-BE"/>
        </w:rPr>
      </w:pPr>
      <w:r w:rsidRPr="00E4349A">
        <w:rPr>
          <w:rFonts w:ascii="Verdana" w:eastAsia="Times New Roman" w:hAnsi="Verdana" w:cs="Times New Roman"/>
          <w:color w:val="3D3D3D"/>
          <w:sz w:val="20"/>
          <w:szCs w:val="20"/>
          <w:lang w:eastAsia="nl-BE"/>
        </w:rPr>
        <w:t>Oog voor duurzame voeding en mobiliteit</w:t>
      </w:r>
    </w:p>
    <w:p w14:paraId="17A5F6F6" w14:textId="77777777" w:rsidR="003C5B41" w:rsidRDefault="003C5B41" w:rsidP="003C5B41">
      <w:pPr>
        <w:jc w:val="both"/>
      </w:pPr>
    </w:p>
    <w:p w14:paraId="54FFFF40" w14:textId="77777777" w:rsidR="003C5B41" w:rsidRDefault="003C5B41" w:rsidP="003C5B41">
      <w:pPr>
        <w:jc w:val="both"/>
      </w:pPr>
      <w:r>
        <w:t>De dertien domeinen omvatten elk een set criteria. Met zijn uitgebreide criterialijst is Green Key veruit de meest ambitieuze standaard. Green Key streeft een duurzaam beleid na op het niveau van:</w:t>
      </w:r>
    </w:p>
    <w:p w14:paraId="7BF029D1" w14:textId="77777777" w:rsidR="003C5B41" w:rsidRDefault="003C5B41" w:rsidP="003C5B41">
      <w:pPr>
        <w:pStyle w:val="Lijstalinea"/>
        <w:numPr>
          <w:ilvl w:val="0"/>
          <w:numId w:val="4"/>
        </w:numPr>
        <w:jc w:val="both"/>
      </w:pPr>
      <w:r>
        <w:t>het individu: de medewerker, manager en de klant.</w:t>
      </w:r>
    </w:p>
    <w:p w14:paraId="47812286" w14:textId="77777777" w:rsidR="003C5B41" w:rsidRDefault="003C5B41" w:rsidP="003C5B41">
      <w:pPr>
        <w:pStyle w:val="Lijstalinea"/>
        <w:numPr>
          <w:ilvl w:val="0"/>
          <w:numId w:val="4"/>
        </w:numPr>
        <w:jc w:val="both"/>
      </w:pPr>
      <w:r>
        <w:t>het bedrijf: administratie, communicatie, beleid, aankopen, missie.</w:t>
      </w:r>
    </w:p>
    <w:p w14:paraId="4016423A" w14:textId="77777777" w:rsidR="003C5B41" w:rsidRDefault="003C5B41" w:rsidP="003C5B41">
      <w:pPr>
        <w:pStyle w:val="Lijstalinea"/>
        <w:numPr>
          <w:ilvl w:val="0"/>
          <w:numId w:val="4"/>
        </w:numPr>
        <w:jc w:val="both"/>
      </w:pPr>
      <w:r>
        <w:t>de keten: leveranciers, intercommunales, sectorfederaties, partners, sponsors.</w:t>
      </w:r>
    </w:p>
    <w:p w14:paraId="30F772DA" w14:textId="77777777" w:rsidR="003C5B41" w:rsidRDefault="003C5B41" w:rsidP="003C5B41">
      <w:pPr>
        <w:pStyle w:val="Lijstalinea"/>
        <w:numPr>
          <w:ilvl w:val="0"/>
          <w:numId w:val="4"/>
        </w:numPr>
        <w:jc w:val="both"/>
      </w:pPr>
      <w:r>
        <w:t xml:space="preserve">de samenleving: groenvoorziening, afvalpreventie, duurzame voeding en mobiliteit. </w:t>
      </w:r>
    </w:p>
    <w:p w14:paraId="1FFDEF7C" w14:textId="77777777" w:rsidR="003C5B41" w:rsidRDefault="003C5B41" w:rsidP="003C5B41">
      <w:pPr>
        <w:jc w:val="both"/>
      </w:pPr>
      <w:r>
        <w:t xml:space="preserve">Green Key gaat veel verder dan wat maatregelen die het milieu sparen. Om de vier jaar worden de criteria herzien, zo houdt Green Key de vinger aan de pols. De criteria zijn bovendien erkend door de Global </w:t>
      </w:r>
      <w:proofErr w:type="spellStart"/>
      <w:r>
        <w:t>Sustainable</w:t>
      </w:r>
      <w:proofErr w:type="spellEnd"/>
      <w:r>
        <w:t xml:space="preserve"> </w:t>
      </w:r>
      <w:proofErr w:type="spellStart"/>
      <w:r>
        <w:t>Tourism</w:t>
      </w:r>
      <w:proofErr w:type="spellEnd"/>
      <w:r>
        <w:t xml:space="preserve"> Council en door de UNEP (United Nations </w:t>
      </w:r>
      <w:proofErr w:type="spellStart"/>
      <w:r>
        <w:t>Environmental</w:t>
      </w:r>
      <w:proofErr w:type="spellEnd"/>
      <w:r>
        <w:t xml:space="preserve"> </w:t>
      </w:r>
      <w:proofErr w:type="spellStart"/>
      <w:r>
        <w:t>Programme</w:t>
      </w:r>
      <w:proofErr w:type="spellEnd"/>
      <w:r>
        <w:t xml:space="preserve">). </w:t>
      </w:r>
    </w:p>
    <w:p w14:paraId="6BD93D2A" w14:textId="77777777" w:rsidR="003C5B41" w:rsidRDefault="003C5B41" w:rsidP="003C5B41">
      <w:pPr>
        <w:jc w:val="both"/>
      </w:pPr>
      <w:r>
        <w:t xml:space="preserve">Uitbaters die meer info willen over de criteria, de toelatingsvoorwaarden, prijzen, verloop van de cycli kunnen terecht op de bedrijfspagina. </w:t>
      </w:r>
    </w:p>
    <w:p w14:paraId="080C5B4A" w14:textId="77777777" w:rsidR="003C5B41" w:rsidRDefault="003C5B41" w:rsidP="003C5B41">
      <w:pPr>
        <w:jc w:val="both"/>
      </w:pPr>
    </w:p>
    <w:p w14:paraId="5D16D011" w14:textId="77777777" w:rsidR="003C5B41" w:rsidRPr="003C5B41" w:rsidRDefault="003C5B41" w:rsidP="003C5B41">
      <w:pPr>
        <w:pStyle w:val="Titlesmall"/>
        <w:rPr>
          <w:rFonts w:cstheme="minorHAnsi"/>
          <w:lang w:val="nl" w:eastAsia="nl-BE"/>
        </w:rPr>
      </w:pPr>
      <w:r>
        <w:rPr>
          <w:rFonts w:cstheme="minorHAnsi"/>
          <w:lang w:val="nl" w:eastAsia="nl-BE"/>
        </w:rPr>
        <w:t>Hoe kan je een Green Key behalen</w:t>
      </w:r>
      <w:r w:rsidRPr="005C4037">
        <w:rPr>
          <w:rFonts w:cstheme="minorHAnsi"/>
          <w:lang w:val="nl" w:eastAsia="nl-BE"/>
        </w:rPr>
        <w:t>?</w:t>
      </w:r>
      <w:r w:rsidRPr="005C4037">
        <w:rPr>
          <w:rFonts w:cstheme="minorHAnsi"/>
          <w:lang w:val="nl" w:eastAsia="nl-BE"/>
        </w:rPr>
        <w:br/>
      </w:r>
    </w:p>
    <w:p w14:paraId="4F390021" w14:textId="77777777" w:rsidR="003C5B41" w:rsidRDefault="003C5B41" w:rsidP="003C5B41">
      <w:pPr>
        <w:jc w:val="both"/>
      </w:pPr>
      <w:r>
        <w:t xml:space="preserve">Wie een Green Key wil behalen, doorloopt een ambitieus parcours. </w:t>
      </w:r>
    </w:p>
    <w:p w14:paraId="58C6D7AA" w14:textId="77777777" w:rsidR="003C5B41" w:rsidRDefault="003C5B41" w:rsidP="003C5B41">
      <w:pPr>
        <w:jc w:val="both"/>
      </w:pPr>
      <w:r>
        <w:t xml:space="preserve">In het eerste jaar doorloopt de uitbater twee fases. In de </w:t>
      </w:r>
      <w:r w:rsidRPr="005C3DB4">
        <w:rPr>
          <w:b/>
          <w:szCs w:val="24"/>
        </w:rPr>
        <w:t xml:space="preserve">eerste </w:t>
      </w:r>
      <w:r>
        <w:rPr>
          <w:b/>
          <w:szCs w:val="24"/>
        </w:rPr>
        <w:t>fase</w:t>
      </w:r>
      <w:r>
        <w:t xml:space="preserve"> gaat de uitbater aan de slag met de criteria en evalueert zichzelf. De uitbater meet en registreert zijn verbruik en formuleert duurzame acties voor het komende kalenderjaar. </w:t>
      </w:r>
    </w:p>
    <w:p w14:paraId="5F4C8141" w14:textId="77777777" w:rsidR="003C5B41" w:rsidRDefault="003C5B41" w:rsidP="003C5B41">
      <w:pPr>
        <w:jc w:val="both"/>
      </w:pPr>
      <w:r>
        <w:t xml:space="preserve">In de </w:t>
      </w:r>
      <w:r w:rsidRPr="005C3DB4">
        <w:rPr>
          <w:b/>
          <w:szCs w:val="24"/>
        </w:rPr>
        <w:t xml:space="preserve">tweede </w:t>
      </w:r>
      <w:r>
        <w:rPr>
          <w:b/>
          <w:szCs w:val="24"/>
        </w:rPr>
        <w:t>fase</w:t>
      </w:r>
      <w:r>
        <w:t xml:space="preserve"> wordt die input aan een strenge audit onderworpen door een externe auditeur. Een professionele jury van relevante stakeholders gaat over elk dossier en kent de Green Key al dan niet toe voor het volgende jaar.</w:t>
      </w:r>
    </w:p>
    <w:p w14:paraId="1507750E" w14:textId="77777777" w:rsidR="003C5B41" w:rsidRDefault="003C5B41" w:rsidP="003C5B41">
      <w:pPr>
        <w:jc w:val="both"/>
      </w:pPr>
      <w:r>
        <w:t xml:space="preserve">Op de </w:t>
      </w:r>
      <w:r w:rsidRPr="0051331A">
        <w:rPr>
          <w:b/>
          <w:szCs w:val="24"/>
        </w:rPr>
        <w:t>jaarlijkse uitreiking</w:t>
      </w:r>
      <w:r>
        <w:t xml:space="preserve"> van de Green Keys stellen we de nieuwe laureaten voor; alle Green </w:t>
      </w:r>
      <w:proofErr w:type="spellStart"/>
      <w:r>
        <w:t>Keyhouders</w:t>
      </w:r>
      <w:proofErr w:type="spellEnd"/>
      <w:r>
        <w:t xml:space="preserve"> krijgen er hun nieuwe Green Key. </w:t>
      </w:r>
    </w:p>
    <w:p w14:paraId="78B651F3" w14:textId="77777777" w:rsidR="000F5856" w:rsidRDefault="000F5856" w:rsidP="003C5B41">
      <w:pPr>
        <w:jc w:val="both"/>
        <w:rPr>
          <w:b/>
          <w:bCs/>
        </w:rPr>
      </w:pPr>
    </w:p>
    <w:p w14:paraId="5A2256C7" w14:textId="61223774" w:rsidR="003C5B41" w:rsidRPr="00B55AEA" w:rsidRDefault="003C5B41" w:rsidP="003C5B41">
      <w:pPr>
        <w:jc w:val="both"/>
      </w:pPr>
      <w:r>
        <w:rPr>
          <w:b/>
          <w:bCs/>
        </w:rPr>
        <w:lastRenderedPageBreak/>
        <w:t>Het parcours</w:t>
      </w:r>
    </w:p>
    <w:p w14:paraId="7267EF13" w14:textId="77777777" w:rsidR="003C5B41" w:rsidRPr="00B55AEA" w:rsidRDefault="003C5B41" w:rsidP="003C5B41">
      <w:pPr>
        <w:numPr>
          <w:ilvl w:val="0"/>
          <w:numId w:val="5"/>
        </w:numPr>
        <w:spacing w:before="0" w:after="160" w:line="259" w:lineRule="auto"/>
        <w:jc w:val="both"/>
      </w:pPr>
      <w:r w:rsidRPr="00B55AEA">
        <w:t>Informeren kan het hele jaar door: </w:t>
      </w:r>
      <w:r>
        <w:t>info@green-key.be</w:t>
      </w:r>
    </w:p>
    <w:p w14:paraId="184BA37E" w14:textId="77777777" w:rsidR="003C5B41" w:rsidRPr="00B55AEA" w:rsidRDefault="003C5B41" w:rsidP="003C5B41">
      <w:pPr>
        <w:numPr>
          <w:ilvl w:val="0"/>
          <w:numId w:val="5"/>
        </w:numPr>
        <w:spacing w:before="0" w:after="160" w:line="259" w:lineRule="auto"/>
        <w:jc w:val="both"/>
      </w:pPr>
      <w:r w:rsidRPr="00B55AEA">
        <w:t>Inschrijven kan het hele jaar door op </w:t>
      </w:r>
      <w:r>
        <w:t>www.green-key.be/registreren</w:t>
      </w:r>
    </w:p>
    <w:p w14:paraId="28CBC85B" w14:textId="77777777" w:rsidR="003C5B41" w:rsidRPr="00B55AEA" w:rsidRDefault="003C5B41" w:rsidP="003C5B41">
      <w:pPr>
        <w:numPr>
          <w:ilvl w:val="0"/>
          <w:numId w:val="5"/>
        </w:numPr>
        <w:spacing w:before="0" w:after="160" w:line="259" w:lineRule="auto"/>
        <w:jc w:val="both"/>
      </w:pPr>
      <w:r w:rsidRPr="00B55AEA">
        <w:t>Green Key dossier aanvullen:</w:t>
      </w:r>
    </w:p>
    <w:p w14:paraId="2CD20BA6" w14:textId="77777777" w:rsidR="003C5B41" w:rsidRPr="00B55AEA" w:rsidRDefault="003C5B41" w:rsidP="003C5B41">
      <w:pPr>
        <w:numPr>
          <w:ilvl w:val="1"/>
          <w:numId w:val="5"/>
        </w:numPr>
        <w:spacing w:before="0" w:after="160" w:line="259" w:lineRule="auto"/>
        <w:jc w:val="both"/>
      </w:pPr>
      <w:r w:rsidRPr="00B55AEA">
        <w:t>Checklist met criteria</w:t>
      </w:r>
    </w:p>
    <w:p w14:paraId="1115A8D0" w14:textId="77777777" w:rsidR="003C5B41" w:rsidRPr="00B55AEA" w:rsidRDefault="003C5B41" w:rsidP="003C5B41">
      <w:pPr>
        <w:numPr>
          <w:ilvl w:val="1"/>
          <w:numId w:val="5"/>
        </w:numPr>
        <w:spacing w:before="0" w:after="160" w:line="259" w:lineRule="auto"/>
        <w:jc w:val="both"/>
      </w:pPr>
      <w:r w:rsidRPr="00B55AEA">
        <w:t>Actieplan</w:t>
      </w:r>
    </w:p>
    <w:p w14:paraId="06F9EE4F" w14:textId="77777777" w:rsidR="003C5B41" w:rsidRPr="00B55AEA" w:rsidRDefault="003C5B41" w:rsidP="003C5B41">
      <w:pPr>
        <w:numPr>
          <w:ilvl w:val="1"/>
          <w:numId w:val="5"/>
        </w:numPr>
        <w:spacing w:before="0" w:after="160" w:line="259" w:lineRule="auto"/>
        <w:jc w:val="both"/>
      </w:pPr>
      <w:r w:rsidRPr="00B55AEA">
        <w:t xml:space="preserve">Registratie verbruik (evt. via </w:t>
      </w:r>
      <w:proofErr w:type="spellStart"/>
      <w:r w:rsidRPr="00B55AEA">
        <w:t>EnergieID</w:t>
      </w:r>
      <w:proofErr w:type="spellEnd"/>
      <w:r w:rsidRPr="00B55AEA">
        <w:t>)</w:t>
      </w:r>
    </w:p>
    <w:p w14:paraId="3D380FC3" w14:textId="77777777" w:rsidR="003C5B41" w:rsidRPr="00B55AEA" w:rsidRDefault="003C5B41" w:rsidP="003C5B41">
      <w:pPr>
        <w:numPr>
          <w:ilvl w:val="0"/>
          <w:numId w:val="5"/>
        </w:numPr>
        <w:spacing w:before="0" w:after="160" w:line="259" w:lineRule="auto"/>
        <w:jc w:val="both"/>
      </w:pPr>
      <w:r w:rsidRPr="00B55AEA">
        <w:t>Dossier indienen</w:t>
      </w:r>
    </w:p>
    <w:p w14:paraId="2AC1751F" w14:textId="77777777" w:rsidR="003C5B41" w:rsidRPr="00B55AEA" w:rsidRDefault="003C5B41" w:rsidP="003C5B41">
      <w:pPr>
        <w:numPr>
          <w:ilvl w:val="1"/>
          <w:numId w:val="5"/>
        </w:numPr>
        <w:spacing w:before="0" w:after="160" w:line="259" w:lineRule="auto"/>
        <w:jc w:val="both"/>
      </w:pPr>
      <w:r w:rsidRPr="00B55AEA">
        <w:t>deadline</w:t>
      </w:r>
      <w:r>
        <w:t xml:space="preserve"> instapperiode is 31 oktober</w:t>
      </w:r>
    </w:p>
    <w:p w14:paraId="5AB6F276" w14:textId="77777777" w:rsidR="003C5B41" w:rsidRPr="00B55AEA" w:rsidRDefault="003C5B41" w:rsidP="003C5B41">
      <w:pPr>
        <w:numPr>
          <w:ilvl w:val="0"/>
          <w:numId w:val="5"/>
        </w:numPr>
        <w:spacing w:before="0" w:after="160" w:line="259" w:lineRule="auto"/>
        <w:jc w:val="both"/>
      </w:pPr>
      <w:r w:rsidRPr="00B55AEA">
        <w:t>Controle</w:t>
      </w:r>
    </w:p>
    <w:p w14:paraId="37808EA8" w14:textId="77777777" w:rsidR="003C5B41" w:rsidRPr="00B55AEA" w:rsidRDefault="003C5B41" w:rsidP="003C5B41">
      <w:pPr>
        <w:numPr>
          <w:ilvl w:val="1"/>
          <w:numId w:val="5"/>
        </w:numPr>
        <w:spacing w:before="0" w:after="160" w:line="259" w:lineRule="auto"/>
        <w:jc w:val="both"/>
      </w:pPr>
      <w:r>
        <w:t>drie</w:t>
      </w:r>
      <w:r w:rsidRPr="00B55AEA">
        <w:t>jaarlijkse audit ter plaatse te starten vanaf jaar 1</w:t>
      </w:r>
    </w:p>
    <w:p w14:paraId="59ED8B30" w14:textId="77777777" w:rsidR="003C5B41" w:rsidRPr="00B55AEA" w:rsidRDefault="003C5B41" w:rsidP="003C5B41">
      <w:pPr>
        <w:numPr>
          <w:ilvl w:val="1"/>
          <w:numId w:val="5"/>
        </w:numPr>
        <w:spacing w:before="0" w:after="160" w:line="259" w:lineRule="auto"/>
        <w:jc w:val="both"/>
      </w:pPr>
      <w:r w:rsidRPr="00B55AEA">
        <w:t>jaarlijks administratief </w:t>
      </w:r>
    </w:p>
    <w:p w14:paraId="09018735" w14:textId="77777777" w:rsidR="003C5B41" w:rsidRPr="00B55AEA" w:rsidRDefault="003C5B41" w:rsidP="003C5B41">
      <w:pPr>
        <w:numPr>
          <w:ilvl w:val="1"/>
          <w:numId w:val="5"/>
        </w:numPr>
        <w:spacing w:before="0" w:after="160" w:line="259" w:lineRule="auto"/>
        <w:jc w:val="both"/>
      </w:pPr>
      <w:proofErr w:type="spellStart"/>
      <w:r w:rsidRPr="00B55AEA">
        <w:t>steekproefgewijs</w:t>
      </w:r>
      <w:proofErr w:type="spellEnd"/>
      <w:r w:rsidRPr="00B55AEA">
        <w:t xml:space="preserve"> (gratis)</w:t>
      </w:r>
    </w:p>
    <w:p w14:paraId="1AACBCC5" w14:textId="77777777" w:rsidR="003C5B41" w:rsidRPr="00B55AEA" w:rsidRDefault="003C5B41" w:rsidP="003C5B41">
      <w:pPr>
        <w:numPr>
          <w:ilvl w:val="0"/>
          <w:numId w:val="5"/>
        </w:numPr>
        <w:spacing w:before="0" w:after="160" w:line="259" w:lineRule="auto"/>
        <w:jc w:val="both"/>
      </w:pPr>
      <w:r w:rsidRPr="00B55AEA">
        <w:t>Jury</w:t>
      </w:r>
    </w:p>
    <w:p w14:paraId="6FD2941A" w14:textId="77777777" w:rsidR="003C5B41" w:rsidRPr="00B55AEA" w:rsidRDefault="003C5B41" w:rsidP="003C5B41">
      <w:pPr>
        <w:numPr>
          <w:ilvl w:val="1"/>
          <w:numId w:val="5"/>
        </w:numPr>
        <w:spacing w:before="0" w:after="160" w:line="259" w:lineRule="auto"/>
        <w:jc w:val="both"/>
      </w:pPr>
      <w:r w:rsidRPr="00B55AEA">
        <w:t>Datum juryvergadering</w:t>
      </w:r>
      <w:r>
        <w:t xml:space="preserve"> in de 1</w:t>
      </w:r>
      <w:r w:rsidRPr="00055646">
        <w:rPr>
          <w:vertAlign w:val="superscript"/>
        </w:rPr>
        <w:t>e</w:t>
      </w:r>
      <w:r>
        <w:t xml:space="preserve"> week van december</w:t>
      </w:r>
    </w:p>
    <w:p w14:paraId="7C888EAC" w14:textId="77777777" w:rsidR="003C5B41" w:rsidRPr="00B55AEA" w:rsidRDefault="003C5B41" w:rsidP="003C5B41">
      <w:pPr>
        <w:numPr>
          <w:ilvl w:val="0"/>
          <w:numId w:val="5"/>
        </w:numPr>
        <w:spacing w:before="0" w:after="160" w:line="259" w:lineRule="auto"/>
        <w:jc w:val="both"/>
      </w:pPr>
      <w:r w:rsidRPr="00B55AEA">
        <w:t>Green Key Award</w:t>
      </w:r>
    </w:p>
    <w:p w14:paraId="1DD6459C" w14:textId="77777777" w:rsidR="003C5B41" w:rsidRPr="00B55AEA" w:rsidRDefault="003C5B41" w:rsidP="003C5B41">
      <w:pPr>
        <w:numPr>
          <w:ilvl w:val="1"/>
          <w:numId w:val="5"/>
        </w:numPr>
        <w:spacing w:before="0" w:after="160" w:line="259" w:lineRule="auto"/>
        <w:jc w:val="both"/>
      </w:pPr>
      <w:r>
        <w:t>Januari</w:t>
      </w:r>
      <w:r w:rsidRPr="00B55AEA">
        <w:t>: ceremoniële uitreiking </w:t>
      </w:r>
    </w:p>
    <w:p w14:paraId="40394584" w14:textId="77777777" w:rsidR="003C5B41" w:rsidRPr="00B55AEA" w:rsidRDefault="003C5B41" w:rsidP="003C5B41">
      <w:pPr>
        <w:numPr>
          <w:ilvl w:val="0"/>
          <w:numId w:val="5"/>
        </w:numPr>
        <w:spacing w:before="0" w:after="160" w:line="259" w:lineRule="auto"/>
        <w:jc w:val="both"/>
      </w:pPr>
      <w:r>
        <w:t>Lidmaatschap hernieuwen: lidgeld betalen in januari</w:t>
      </w:r>
    </w:p>
    <w:p w14:paraId="702CBC9B" w14:textId="77777777" w:rsidR="005C4037" w:rsidRPr="005C4037" w:rsidRDefault="003C5B41" w:rsidP="005C4037">
      <w:pPr>
        <w:pStyle w:val="Titlesmall"/>
        <w:rPr>
          <w:rFonts w:cstheme="minorHAnsi"/>
          <w:lang w:val="nl" w:eastAsia="nl-BE"/>
        </w:rPr>
      </w:pPr>
      <w:bookmarkStart w:id="4" w:name="_z47a93arhmn9" w:colFirst="0" w:colLast="0"/>
      <w:bookmarkEnd w:id="4"/>
      <w:r>
        <w:rPr>
          <w:rFonts w:cstheme="minorHAnsi"/>
          <w:lang w:eastAsia="nl-BE"/>
        </w:rPr>
        <w:br/>
      </w:r>
      <w:r w:rsidR="005C4037" w:rsidRPr="005C4037">
        <w:rPr>
          <w:rFonts w:cstheme="minorHAnsi"/>
          <w:lang w:val="nl" w:eastAsia="nl-BE"/>
        </w:rPr>
        <w:t>Hoe ondersteun</w:t>
      </w:r>
      <w:r>
        <w:rPr>
          <w:rFonts w:cstheme="minorHAnsi"/>
          <w:lang w:val="nl" w:eastAsia="nl-BE"/>
        </w:rPr>
        <w:t>t</w:t>
      </w:r>
      <w:r w:rsidR="005C4037" w:rsidRPr="005C4037">
        <w:rPr>
          <w:rFonts w:cstheme="minorHAnsi"/>
          <w:lang w:val="nl" w:eastAsia="nl-BE"/>
        </w:rPr>
        <w:t xml:space="preserve"> Toerisme Vlaanderen? </w:t>
      </w:r>
    </w:p>
    <w:p w14:paraId="7F4C7679" w14:textId="77777777" w:rsidR="005C4037" w:rsidRPr="005C4037" w:rsidRDefault="005C4037" w:rsidP="005C4037">
      <w:pPr>
        <w:jc w:val="both"/>
        <w:rPr>
          <w:lang w:val="nl" w:eastAsia="nl-BE"/>
        </w:rPr>
      </w:pPr>
      <w:r w:rsidRPr="005C4037">
        <w:rPr>
          <w:lang w:val="nl" w:eastAsia="nl-BE"/>
        </w:rPr>
        <w:t xml:space="preserve">Toerisme Vlaanderen geeft een gedeeltelijke subsidie voor elke Green Key (ongeveer 50% van de werkingskosten). Toerisme Vlaanderen erkent het belang van duurzaamheid en </w:t>
      </w:r>
      <w:r w:rsidR="00991B59">
        <w:rPr>
          <w:lang w:val="nl" w:eastAsia="nl-BE"/>
        </w:rPr>
        <w:t xml:space="preserve">blijft naast de eigen labels </w:t>
      </w:r>
      <w:r w:rsidRPr="005C4037">
        <w:rPr>
          <w:lang w:val="nl" w:eastAsia="nl-BE"/>
        </w:rPr>
        <w:t>Green Key ondersteunen - als grootste, internationale ecolabel voor toerisme. Toch wordt het Green Key label aangespoord om op eigen benen te staan en een meer commerciële werking uit te bouwen door bijvoorbeeld aan schaalvergroting te doen</w:t>
      </w:r>
      <w:r w:rsidR="003C5B41">
        <w:rPr>
          <w:lang w:val="nl" w:eastAsia="nl-BE"/>
        </w:rPr>
        <w:t>.</w:t>
      </w:r>
    </w:p>
    <w:p w14:paraId="3369FD03" w14:textId="77777777" w:rsidR="005C4037" w:rsidRPr="005C4037" w:rsidRDefault="005C4037" w:rsidP="005C4037">
      <w:pPr>
        <w:pStyle w:val="Titlesmall"/>
        <w:rPr>
          <w:rFonts w:eastAsia="Verdana" w:cstheme="minorHAnsi"/>
          <w:b w:val="0"/>
          <w:color w:val="000000"/>
          <w:sz w:val="20"/>
          <w:szCs w:val="20"/>
          <w:lang w:val="nl" w:eastAsia="nl-BE"/>
        </w:rPr>
      </w:pPr>
    </w:p>
    <w:sectPr w:rsidR="005C4037" w:rsidRPr="005C4037" w:rsidSect="00707E1A">
      <w:footerReference w:type="default" r:id="rId14"/>
      <w:headerReference w:type="first" r:id="rId15"/>
      <w:footerReference w:type="first" r:id="rId16"/>
      <w:pgSz w:w="11906" w:h="16838" w:code="9"/>
      <w:pgMar w:top="1418" w:right="1134" w:bottom="1418" w:left="1134"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096E" w14:textId="77777777" w:rsidR="008B2B65" w:rsidRDefault="008B2B65" w:rsidP="00594691">
      <w:pPr>
        <w:spacing w:before="0" w:after="0" w:line="240" w:lineRule="auto"/>
      </w:pPr>
      <w:r>
        <w:separator/>
      </w:r>
    </w:p>
  </w:endnote>
  <w:endnote w:type="continuationSeparator" w:id="0">
    <w:p w14:paraId="29B173C2" w14:textId="77777777" w:rsidR="008B2B65" w:rsidRDefault="008B2B65" w:rsidP="005946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Bold">
    <w:altName w:val="Lato Regular"/>
    <w:panose1 w:val="00000000000000000000"/>
    <w:charset w:val="4D"/>
    <w:family w:val="auto"/>
    <w:notTrueType/>
    <w:pitch w:val="default"/>
    <w:sig w:usb0="00000003" w:usb1="00000000" w:usb2="00000000" w:usb3="00000000" w:csb0="00000001" w:csb1="00000000"/>
  </w:font>
  <w:font w:name="Lato-Light">
    <w:altName w:val="Lato Light"/>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10253"/>
      <w:docPartObj>
        <w:docPartGallery w:val="Page Numbers (Bottom of Page)"/>
        <w:docPartUnique/>
      </w:docPartObj>
    </w:sdtPr>
    <w:sdtEndPr/>
    <w:sdtContent>
      <w:p w14:paraId="76214C95" w14:textId="77777777" w:rsidR="00A24250" w:rsidRDefault="00A24250">
        <w:pPr>
          <w:pStyle w:val="Voettekst"/>
          <w:jc w:val="right"/>
        </w:pPr>
        <w:r>
          <w:rPr>
            <w:noProof/>
            <w:lang w:eastAsia="nl-BE"/>
          </w:rPr>
          <w:drawing>
            <wp:anchor distT="0" distB="0" distL="114300" distR="114300" simplePos="0" relativeHeight="251659264" behindDoc="0" locked="0" layoutInCell="1" allowOverlap="1" wp14:anchorId="314A46BD" wp14:editId="09889974">
              <wp:simplePos x="0" y="0"/>
              <wp:positionH relativeFrom="column">
                <wp:posOffset>2679700</wp:posOffset>
              </wp:positionH>
              <wp:positionV relativeFrom="paragraph">
                <wp:posOffset>-137795</wp:posOffset>
              </wp:positionV>
              <wp:extent cx="579120" cy="509905"/>
              <wp:effectExtent l="0" t="0" r="0" b="444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GoodPlanet-RVB.jpg"/>
                      <pic:cNvPicPr/>
                    </pic:nvPicPr>
                    <pic:blipFill>
                      <a:blip r:embed="rId1">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054A73" w:rsidRPr="00054A73">
          <w:rPr>
            <w:noProof/>
            <w:lang w:val="nl-NL"/>
          </w:rPr>
          <w:t>5</w:t>
        </w:r>
        <w:r>
          <w:fldChar w:fldCharType="end"/>
        </w:r>
      </w:p>
    </w:sdtContent>
  </w:sdt>
  <w:p w14:paraId="7683E0E5" w14:textId="77777777" w:rsidR="00594691" w:rsidRPr="00DC50E2" w:rsidRDefault="00594691" w:rsidP="00971641">
    <w:pPr>
      <w:pStyle w:val="Voettekst"/>
      <w:ind w:left="42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2F0A" w14:textId="77777777" w:rsidR="00594691" w:rsidRPr="00BE371D" w:rsidRDefault="00BE371D" w:rsidP="00BE371D">
    <w:pPr>
      <w:widowControl w:val="0"/>
      <w:autoSpaceDE w:val="0"/>
      <w:autoSpaceDN w:val="0"/>
      <w:adjustRightInd w:val="0"/>
      <w:spacing w:before="0" w:after="0" w:line="288" w:lineRule="auto"/>
      <w:ind w:left="-851" w:right="-857"/>
      <w:jc w:val="center"/>
      <w:textAlignment w:val="center"/>
      <w:rPr>
        <w:rFonts w:ascii="Calibri" w:eastAsia="MS Mincho" w:hAnsi="Calibri" w:cs="Lato-Light"/>
        <w:color w:val="494131"/>
        <w:spacing w:val="2"/>
        <w:sz w:val="18"/>
        <w:szCs w:val="20"/>
        <w:lang w:val="en-US" w:eastAsia="ja-JP"/>
      </w:rPr>
    </w:pPr>
    <w:r>
      <w:rPr>
        <w:rFonts w:ascii="Calibri" w:eastAsia="MS Mincho" w:hAnsi="Calibri" w:cs="Lato-Bold"/>
        <w:b/>
        <w:bCs/>
        <w:color w:val="1794D2"/>
        <w:spacing w:val="3"/>
        <w:sz w:val="20"/>
        <w:szCs w:val="20"/>
        <w:lang w:val="en-US" w:eastAsia="ja-JP"/>
      </w:rPr>
      <w:br/>
    </w:r>
    <w:r w:rsidR="00921CC6">
      <w:rPr>
        <w:rFonts w:ascii="Calibri" w:eastAsia="MS Mincho" w:hAnsi="Calibri" w:cs="Lato-Bold"/>
        <w:b/>
        <w:bCs/>
        <w:color w:val="1794D2"/>
        <w:spacing w:val="3"/>
        <w:sz w:val="20"/>
        <w:szCs w:val="20"/>
        <w:lang w:val="en-US" w:eastAsia="ja-JP"/>
      </w:rPr>
      <w:t xml:space="preserve">GoodPlanet </w:t>
    </w:r>
    <w:r w:rsidR="00921CC6" w:rsidRPr="00921CC6">
      <w:rPr>
        <w:rFonts w:ascii="Calibri" w:eastAsia="MS Mincho" w:hAnsi="Calibri" w:cs="Lato-Bold"/>
        <w:b/>
        <w:bCs/>
        <w:color w:val="1794D2"/>
        <w:spacing w:val="3"/>
        <w:sz w:val="20"/>
        <w:szCs w:val="20"/>
        <w:lang w:val="en-US" w:eastAsia="ja-JP"/>
      </w:rPr>
      <w:t>Belgium</w:t>
    </w:r>
    <w:r w:rsidR="00F5694F">
      <w:rPr>
        <w:rFonts w:ascii="Calibri" w:eastAsia="MS Mincho" w:hAnsi="Calibri" w:cs="Lato-Bold"/>
        <w:b/>
        <w:bCs/>
        <w:color w:val="1794D2"/>
        <w:spacing w:val="3"/>
        <w:sz w:val="20"/>
        <w:szCs w:val="20"/>
        <w:lang w:val="en-US" w:eastAsia="ja-JP"/>
      </w:rPr>
      <w:t xml:space="preserve"> </w:t>
    </w:r>
    <w:proofErr w:type="spellStart"/>
    <w:r w:rsidR="00F5694F">
      <w:rPr>
        <w:rFonts w:ascii="Calibri" w:eastAsia="MS Mincho" w:hAnsi="Calibri" w:cs="Lato-Bold"/>
        <w:b/>
        <w:bCs/>
        <w:color w:val="1794D2"/>
        <w:spacing w:val="3"/>
        <w:sz w:val="20"/>
        <w:szCs w:val="20"/>
        <w:lang w:val="en-US" w:eastAsia="ja-JP"/>
      </w:rPr>
      <w:t>vzw</w:t>
    </w:r>
    <w:proofErr w:type="spellEnd"/>
    <w:r w:rsidR="00F5694F">
      <w:rPr>
        <w:rFonts w:ascii="Calibri" w:eastAsia="MS Mincho" w:hAnsi="Calibri" w:cs="Lato-Bold"/>
        <w:b/>
        <w:bCs/>
        <w:color w:val="1794D2"/>
        <w:spacing w:val="3"/>
        <w:sz w:val="20"/>
        <w:szCs w:val="20"/>
        <w:lang w:val="en-US" w:eastAsia="ja-JP"/>
      </w:rPr>
      <w:t xml:space="preserve"> -</w:t>
    </w:r>
    <w:r w:rsidR="00CE4CE4">
      <w:rPr>
        <w:rFonts w:ascii="Calibri" w:eastAsia="MS Mincho" w:hAnsi="Calibri" w:cs="Lato-Bold"/>
        <w:b/>
        <w:bCs/>
        <w:color w:val="1794D2"/>
        <w:spacing w:val="3"/>
        <w:sz w:val="20"/>
        <w:szCs w:val="20"/>
        <w:lang w:val="en-US" w:eastAsia="ja-JP"/>
      </w:rPr>
      <w:t xml:space="preserve"> </w:t>
    </w:r>
    <w:proofErr w:type="spellStart"/>
    <w:r w:rsidR="00CE4CE4">
      <w:rPr>
        <w:rFonts w:ascii="Calibri" w:eastAsia="MS Mincho" w:hAnsi="Calibri" w:cs="Lato-Bold"/>
        <w:b/>
        <w:bCs/>
        <w:color w:val="1794D2"/>
        <w:spacing w:val="3"/>
        <w:sz w:val="20"/>
        <w:szCs w:val="20"/>
        <w:lang w:val="en-US" w:eastAsia="ja-JP"/>
      </w:rPr>
      <w:t>asbl</w:t>
    </w:r>
    <w:proofErr w:type="spellEnd"/>
    <w:r w:rsidR="00F64BE3">
      <w:rPr>
        <w:rFonts w:ascii="Calibri" w:eastAsia="MS Mincho" w:hAnsi="Calibri" w:cs="Lato-Bold"/>
        <w:b/>
        <w:bCs/>
        <w:color w:val="1794D2"/>
        <w:spacing w:val="3"/>
        <w:sz w:val="20"/>
        <w:szCs w:val="20"/>
        <w:lang w:val="en-US" w:eastAsia="ja-JP"/>
      </w:rPr>
      <w:t xml:space="preserve"> </w:t>
    </w:r>
    <w:r w:rsidR="00921CC6" w:rsidRPr="00921CC6">
      <w:rPr>
        <w:rFonts w:ascii="Calibri" w:eastAsia="MS Mincho" w:hAnsi="Calibri" w:cs="Lato-Bold"/>
        <w:b/>
        <w:bCs/>
        <w:color w:val="1794D2"/>
        <w:spacing w:val="3"/>
        <w:sz w:val="18"/>
        <w:szCs w:val="20"/>
        <w:lang w:val="en-US" w:eastAsia="ja-JP"/>
      </w:rPr>
      <w:t>I</w:t>
    </w:r>
    <w:r w:rsidR="00921CC6" w:rsidRPr="00921CC6">
      <w:rPr>
        <w:rFonts w:ascii="Calibri" w:eastAsia="MS Mincho" w:hAnsi="Calibri" w:cs="Lato-Bold"/>
        <w:b/>
        <w:bCs/>
        <w:color w:val="494131"/>
        <w:spacing w:val="3"/>
        <w:sz w:val="18"/>
        <w:szCs w:val="20"/>
        <w:lang w:val="en-US" w:eastAsia="ja-JP"/>
      </w:rPr>
      <w:t xml:space="preserve"> </w:t>
    </w:r>
    <w:proofErr w:type="spellStart"/>
    <w:r w:rsidR="00921CC6" w:rsidRPr="00921CC6">
      <w:rPr>
        <w:rFonts w:ascii="Calibri" w:eastAsia="MS Mincho" w:hAnsi="Calibri" w:cs="Lato-Light"/>
        <w:color w:val="494131"/>
        <w:spacing w:val="2"/>
        <w:sz w:val="18"/>
        <w:szCs w:val="20"/>
        <w:lang w:val="en-US" w:eastAsia="ja-JP"/>
      </w:rPr>
      <w:t>Edin</w:t>
    </w:r>
    <w:r w:rsidR="00921CC6">
      <w:rPr>
        <w:rFonts w:ascii="Calibri" w:eastAsia="MS Mincho" w:hAnsi="Calibri" w:cs="Lato-Light"/>
        <w:color w:val="494131"/>
        <w:spacing w:val="2"/>
        <w:sz w:val="18"/>
        <w:szCs w:val="20"/>
        <w:lang w:val="en-US" w:eastAsia="ja-JP"/>
      </w:rPr>
      <w:t>burgstraat</w:t>
    </w:r>
    <w:proofErr w:type="spellEnd"/>
    <w:r w:rsidR="00921CC6">
      <w:rPr>
        <w:rFonts w:ascii="Calibri" w:eastAsia="MS Mincho" w:hAnsi="Calibri" w:cs="Lato-Light"/>
        <w:color w:val="494131"/>
        <w:spacing w:val="2"/>
        <w:sz w:val="18"/>
        <w:szCs w:val="20"/>
        <w:lang w:val="en-US" w:eastAsia="ja-JP"/>
      </w:rPr>
      <w:t xml:space="preserve"> 26 Rue </w:t>
    </w:r>
    <w:proofErr w:type="spellStart"/>
    <w:r w:rsidR="00921CC6">
      <w:rPr>
        <w:rFonts w:ascii="Calibri" w:eastAsia="MS Mincho" w:hAnsi="Calibri" w:cs="Lato-Light"/>
        <w:color w:val="494131"/>
        <w:spacing w:val="2"/>
        <w:sz w:val="18"/>
        <w:szCs w:val="20"/>
        <w:lang w:val="en-US" w:eastAsia="ja-JP"/>
      </w:rPr>
      <w:t>d’Edimbour</w:t>
    </w:r>
    <w:r w:rsidR="00F64BE3">
      <w:rPr>
        <w:rFonts w:ascii="Calibri" w:eastAsia="MS Mincho" w:hAnsi="Calibri" w:cs="Lato-Light"/>
        <w:color w:val="494131"/>
        <w:spacing w:val="2"/>
        <w:sz w:val="18"/>
        <w:szCs w:val="20"/>
        <w:lang w:val="en-US" w:eastAsia="ja-JP"/>
      </w:rPr>
      <w:t>g</w:t>
    </w:r>
    <w:proofErr w:type="spellEnd"/>
    <w:r w:rsidR="00921CC6">
      <w:rPr>
        <w:rFonts w:ascii="Calibri" w:eastAsia="MS Mincho" w:hAnsi="Calibri" w:cs="Lato-Light"/>
        <w:color w:val="494131"/>
        <w:spacing w:val="2"/>
        <w:sz w:val="18"/>
        <w:szCs w:val="20"/>
        <w:lang w:val="en-US" w:eastAsia="ja-JP"/>
      </w:rPr>
      <w:t xml:space="preserve"> </w:t>
    </w:r>
    <w:r w:rsidR="00921CC6" w:rsidRPr="00921CC6">
      <w:rPr>
        <w:rFonts w:ascii="Calibri" w:eastAsia="MS Mincho" w:hAnsi="Calibri" w:cs="Lato-Bold"/>
        <w:b/>
        <w:bCs/>
        <w:color w:val="1794D2"/>
        <w:spacing w:val="3"/>
        <w:sz w:val="18"/>
        <w:szCs w:val="20"/>
        <w:lang w:val="en-US" w:eastAsia="ja-JP"/>
      </w:rPr>
      <w:t>I</w:t>
    </w:r>
    <w:r w:rsidR="00F64BE3">
      <w:rPr>
        <w:rFonts w:ascii="Calibri" w:eastAsia="MS Mincho" w:hAnsi="Calibri" w:cs="Lato-Bold"/>
        <w:b/>
        <w:bCs/>
        <w:color w:val="494131"/>
        <w:spacing w:val="3"/>
        <w:sz w:val="18"/>
        <w:szCs w:val="20"/>
        <w:lang w:val="en-US" w:eastAsia="ja-JP"/>
      </w:rPr>
      <w:t xml:space="preserve"> </w:t>
    </w:r>
    <w:r w:rsidR="00F64BE3">
      <w:rPr>
        <w:rFonts w:ascii="Calibri" w:eastAsia="MS Mincho" w:hAnsi="Calibri" w:cs="Lato-Light"/>
        <w:color w:val="494131"/>
        <w:spacing w:val="2"/>
        <w:sz w:val="18"/>
        <w:szCs w:val="20"/>
        <w:lang w:val="en-US" w:eastAsia="ja-JP"/>
      </w:rPr>
      <w:t xml:space="preserve">Brussel 1050 </w:t>
    </w:r>
    <w:proofErr w:type="spellStart"/>
    <w:r w:rsidR="00F64BE3">
      <w:rPr>
        <w:rFonts w:ascii="Calibri" w:eastAsia="MS Mincho" w:hAnsi="Calibri" w:cs="Lato-Light"/>
        <w:color w:val="494131"/>
        <w:spacing w:val="2"/>
        <w:sz w:val="18"/>
        <w:szCs w:val="20"/>
        <w:lang w:val="en-US" w:eastAsia="ja-JP"/>
      </w:rPr>
      <w:t>Bruxelles</w:t>
    </w:r>
    <w:proofErr w:type="spellEnd"/>
    <w:r w:rsidR="00921CC6" w:rsidRPr="00921CC6">
      <w:rPr>
        <w:rFonts w:ascii="Calibri" w:eastAsia="MS Mincho" w:hAnsi="Calibri" w:cs="Lato-Light"/>
        <w:color w:val="494131"/>
        <w:spacing w:val="2"/>
        <w:sz w:val="18"/>
        <w:szCs w:val="20"/>
        <w:lang w:val="en-US" w:eastAsia="ja-JP"/>
      </w:rPr>
      <w:t xml:space="preserve"> </w:t>
    </w:r>
    <w:r w:rsidR="00921CC6" w:rsidRPr="00921CC6">
      <w:rPr>
        <w:rFonts w:ascii="Calibri" w:eastAsia="MS Mincho" w:hAnsi="Calibri" w:cs="Lato-Bold"/>
        <w:b/>
        <w:bCs/>
        <w:color w:val="1794D2"/>
        <w:spacing w:val="3"/>
        <w:sz w:val="18"/>
        <w:szCs w:val="20"/>
        <w:lang w:val="en-US" w:eastAsia="ja-JP"/>
      </w:rPr>
      <w:t>I</w:t>
    </w:r>
    <w:r w:rsidR="00F64BE3">
      <w:rPr>
        <w:rFonts w:ascii="Calibri" w:eastAsia="MS Mincho" w:hAnsi="Calibri" w:cs="Lato-Light"/>
        <w:color w:val="494131"/>
        <w:spacing w:val="2"/>
        <w:sz w:val="18"/>
        <w:szCs w:val="20"/>
        <w:lang w:val="en-US" w:eastAsia="ja-JP"/>
      </w:rPr>
      <w:t xml:space="preserve"> </w:t>
    </w:r>
    <w:r w:rsidR="00921CC6" w:rsidRPr="00921CC6">
      <w:rPr>
        <w:rFonts w:ascii="Calibri" w:eastAsia="MS Mincho" w:hAnsi="Calibri" w:cs="Lato-Light"/>
        <w:color w:val="494131"/>
        <w:spacing w:val="3"/>
        <w:sz w:val="18"/>
        <w:szCs w:val="20"/>
        <w:lang w:val="en-US" w:eastAsia="ja-JP"/>
      </w:rPr>
      <w:t>T</w:t>
    </w:r>
    <w:r w:rsidR="00921CC6" w:rsidRPr="00921CC6">
      <w:rPr>
        <w:rFonts w:ascii="Calibri" w:eastAsia="MS Mincho" w:hAnsi="Calibri" w:cs="GillSans-Light"/>
        <w:color w:val="494131"/>
        <w:sz w:val="18"/>
        <w:szCs w:val="20"/>
        <w:lang w:val="en-US" w:eastAsia="ja-JP"/>
      </w:rPr>
      <w:t xml:space="preserve"> </w:t>
    </w:r>
    <w:r w:rsidR="00F64BE3">
      <w:rPr>
        <w:rFonts w:ascii="Calibri" w:eastAsia="MS Mincho" w:hAnsi="Calibri" w:cs="Lato-Light"/>
        <w:color w:val="494131"/>
        <w:spacing w:val="2"/>
        <w:sz w:val="18"/>
        <w:szCs w:val="20"/>
        <w:lang w:val="en-US" w:eastAsia="ja-JP"/>
      </w:rPr>
      <w:t>+32 (0)2 893 08 08</w:t>
    </w:r>
    <w:r w:rsidR="00921CC6" w:rsidRPr="00921CC6">
      <w:rPr>
        <w:rFonts w:ascii="Calibri" w:eastAsia="MS Mincho" w:hAnsi="Calibri" w:cs="Lato-Bold"/>
        <w:b/>
        <w:bCs/>
        <w:color w:val="494131"/>
        <w:spacing w:val="3"/>
        <w:sz w:val="18"/>
        <w:szCs w:val="20"/>
        <w:lang w:val="en-US" w:eastAsia="ja-JP"/>
      </w:rPr>
      <w:t xml:space="preserve"> </w:t>
    </w:r>
    <w:r w:rsidR="00921CC6" w:rsidRPr="00921CC6">
      <w:rPr>
        <w:rFonts w:ascii="Calibri" w:eastAsia="MS Mincho" w:hAnsi="Calibri" w:cs="Lato-Bold"/>
        <w:b/>
        <w:bCs/>
        <w:color w:val="1794D2"/>
        <w:spacing w:val="3"/>
        <w:sz w:val="18"/>
        <w:szCs w:val="20"/>
        <w:lang w:val="en-US" w:eastAsia="ja-JP"/>
      </w:rPr>
      <w:t>I</w:t>
    </w:r>
    <w:r w:rsidR="00F64BE3">
      <w:rPr>
        <w:rFonts w:ascii="Calibri" w:eastAsia="MS Mincho" w:hAnsi="Calibri" w:cs="Lato-Light"/>
        <w:color w:val="494131"/>
        <w:spacing w:val="2"/>
        <w:sz w:val="18"/>
        <w:szCs w:val="20"/>
        <w:lang w:val="en-US" w:eastAsia="ja-JP"/>
      </w:rPr>
      <w:t xml:space="preserve"> </w:t>
    </w:r>
    <w:r w:rsidR="00921CC6" w:rsidRPr="00921CC6">
      <w:rPr>
        <w:rFonts w:ascii="Calibri" w:eastAsia="MS Mincho" w:hAnsi="Calibri" w:cs="Lato-Light"/>
        <w:color w:val="494131"/>
        <w:spacing w:val="2"/>
        <w:sz w:val="18"/>
        <w:szCs w:val="20"/>
        <w:lang w:val="en-US" w:eastAsia="ja-JP"/>
      </w:rPr>
      <w:t>www.goodplanet.be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50C9" w14:textId="77777777" w:rsidR="008B2B65" w:rsidRDefault="008B2B65" w:rsidP="00594691">
      <w:pPr>
        <w:spacing w:before="0" w:after="0" w:line="240" w:lineRule="auto"/>
      </w:pPr>
      <w:r>
        <w:separator/>
      </w:r>
    </w:p>
  </w:footnote>
  <w:footnote w:type="continuationSeparator" w:id="0">
    <w:p w14:paraId="0F6043A5" w14:textId="77777777" w:rsidR="008B2B65" w:rsidRDefault="008B2B65" w:rsidP="005946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AB16" w14:textId="77777777" w:rsidR="00A137BB" w:rsidRDefault="00A137BB" w:rsidP="009F5A4B">
    <w:pPr>
      <w:pStyle w:val="Koptekst"/>
      <w:jc w:val="both"/>
    </w:pPr>
  </w:p>
  <w:tbl>
    <w:tblPr>
      <w:tblStyle w:val="Tabelraster"/>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42"/>
    </w:tblGrid>
    <w:tr w:rsidR="00A137BB" w:rsidRPr="005C4037" w14:paraId="4E780B01" w14:textId="77777777" w:rsidTr="00213A9E">
      <w:trPr>
        <w:trHeight w:val="1542"/>
      </w:trPr>
      <w:tc>
        <w:tcPr>
          <w:tcW w:w="2802" w:type="dxa"/>
        </w:tcPr>
        <w:p w14:paraId="13731541" w14:textId="77777777" w:rsidR="00A137BB" w:rsidRDefault="00A137BB" w:rsidP="009F5A4B">
          <w:pPr>
            <w:pStyle w:val="Koptekst"/>
            <w:jc w:val="both"/>
          </w:pPr>
          <w:r>
            <w:rPr>
              <w:noProof/>
              <w:lang w:eastAsia="nl-BE"/>
            </w:rPr>
            <w:drawing>
              <wp:inline distT="0" distB="0" distL="0" distR="0" wp14:anchorId="5873B3FB" wp14:editId="69CC90E7">
                <wp:extent cx="1127176" cy="1158240"/>
                <wp:effectExtent l="0" t="0" r="0" b="10160"/>
                <wp:docPr id="19" name="Image 4" descr="Macintosh HD:Users:davidschurmann:Desktop:Nouveaux Jobs:GoodPlanet:DossierGuidepiration-NL-FR-21-10-14:EnteteWord-GoodPlanet:LogoGoodPlanet-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churmann:Desktop:Nouveaux Jobs:GoodPlanet:DossierGuidepiration-NL-FR-21-10-14:EnteteWord-GoodPlanet:LogoGoodPlanet-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76" cy="1158240"/>
                        </a:xfrm>
                        <a:prstGeom prst="rect">
                          <a:avLst/>
                        </a:prstGeom>
                        <a:noFill/>
                        <a:ln>
                          <a:noFill/>
                        </a:ln>
                      </pic:spPr>
                    </pic:pic>
                  </a:graphicData>
                </a:graphic>
              </wp:inline>
            </w:drawing>
          </w:r>
        </w:p>
      </w:tc>
      <w:tc>
        <w:tcPr>
          <w:tcW w:w="7142" w:type="dxa"/>
        </w:tcPr>
        <w:p w14:paraId="4103232C" w14:textId="77777777" w:rsidR="00A137BB" w:rsidRPr="005C4037" w:rsidRDefault="00A137BB" w:rsidP="00A137BB">
          <w:pPr>
            <w:spacing w:before="0" w:after="0" w:line="23" w:lineRule="atLeast"/>
            <w:jc w:val="right"/>
            <w:rPr>
              <w:szCs w:val="24"/>
              <w:lang w:val="en-GB"/>
            </w:rPr>
          </w:pPr>
          <w:r w:rsidRPr="005C4037">
            <w:rPr>
              <w:b/>
              <w:color w:val="00A0DD"/>
              <w:sz w:val="36"/>
              <w:szCs w:val="36"/>
              <w:lang w:val="en-GB"/>
            </w:rPr>
            <w:br/>
          </w:r>
          <w:proofErr w:type="spellStart"/>
          <w:r w:rsidR="005C4037" w:rsidRPr="005C4037">
            <w:rPr>
              <w:rStyle w:val="HeadingChar"/>
              <w:lang w:val="en-GB"/>
            </w:rPr>
            <w:t>Historiek</w:t>
          </w:r>
          <w:proofErr w:type="spellEnd"/>
          <w:r w:rsidR="005C4037" w:rsidRPr="005C4037">
            <w:rPr>
              <w:rStyle w:val="HeadingChar"/>
              <w:lang w:val="en-GB"/>
            </w:rPr>
            <w:t xml:space="preserve"> + Q&amp;A Green Key</w:t>
          </w:r>
          <w:r w:rsidRPr="005C4037">
            <w:rPr>
              <w:szCs w:val="24"/>
              <w:lang w:val="en-GB"/>
            </w:rPr>
            <w:br/>
          </w:r>
          <w:proofErr w:type="spellStart"/>
          <w:r w:rsidR="00060785">
            <w:rPr>
              <w:szCs w:val="24"/>
              <w:lang w:val="en-GB"/>
            </w:rPr>
            <w:t>voor</w:t>
          </w:r>
          <w:proofErr w:type="spellEnd"/>
          <w:r w:rsidR="00060785">
            <w:rPr>
              <w:szCs w:val="24"/>
              <w:lang w:val="en-GB"/>
            </w:rPr>
            <w:t xml:space="preserve"> intern </w:t>
          </w:r>
          <w:proofErr w:type="spellStart"/>
          <w:r w:rsidR="00060785">
            <w:rPr>
              <w:szCs w:val="24"/>
              <w:lang w:val="en-GB"/>
            </w:rPr>
            <w:t>gebruik</w:t>
          </w:r>
          <w:proofErr w:type="spellEnd"/>
        </w:p>
        <w:p w14:paraId="3069308B" w14:textId="77777777" w:rsidR="00A137BB" w:rsidRPr="005C4037" w:rsidRDefault="00A137BB" w:rsidP="009F5A4B">
          <w:pPr>
            <w:pStyle w:val="Koptekst"/>
            <w:jc w:val="both"/>
            <w:rPr>
              <w:lang w:val="en-GB"/>
            </w:rPr>
          </w:pPr>
        </w:p>
      </w:tc>
    </w:tr>
  </w:tbl>
  <w:p w14:paraId="6E4AFC47" w14:textId="77777777" w:rsidR="00594691" w:rsidRPr="005C4037" w:rsidRDefault="00594691" w:rsidP="00A137BB">
    <w:pPr>
      <w:pStyle w:val="Koptekst"/>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8B7"/>
    <w:multiLevelType w:val="hybridMultilevel"/>
    <w:tmpl w:val="9336F4D4"/>
    <w:lvl w:ilvl="0" w:tplc="E560427C">
      <w:start w:val="2"/>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F1E3CD0"/>
    <w:multiLevelType w:val="hybridMultilevel"/>
    <w:tmpl w:val="0796506A"/>
    <w:lvl w:ilvl="0" w:tplc="9796DB3C">
      <w:start w:val="1"/>
      <w:numFmt w:val="bullet"/>
      <w:lvlText w:val="?"/>
      <w:lvlJc w:val="left"/>
      <w:pPr>
        <w:ind w:left="720" w:hanging="360"/>
      </w:pPr>
      <w:rPr>
        <w:rFonts w:ascii="Rage Italic" w:hAnsi="Rage Ital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DE09BD"/>
    <w:multiLevelType w:val="hybridMultilevel"/>
    <w:tmpl w:val="6B981B84"/>
    <w:lvl w:ilvl="0" w:tplc="8E0AA326">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70770A"/>
    <w:multiLevelType w:val="multilevel"/>
    <w:tmpl w:val="3FC8595A"/>
    <w:lvl w:ilvl="0">
      <w:start w:val="1"/>
      <w:numFmt w:val="decimal"/>
      <w:pStyle w:val="Kop1"/>
      <w:lvlText w:val="%1."/>
      <w:lvlJc w:val="left"/>
      <w:pPr>
        <w:ind w:left="785" w:hanging="360"/>
      </w:pPr>
      <w:rPr>
        <w:rFonts w:asciiTheme="minorHAnsi" w:hAnsiTheme="minorHAnsi" w:cstheme="minorHAnsi" w:hint="default"/>
        <w:b/>
        <w:i/>
        <w:caps w:val="0"/>
        <w:strike w:val="0"/>
        <w:dstrike w:val="0"/>
        <w:vanish w:val="0"/>
        <w:color w:val="1895CE"/>
        <w:sz w:val="24"/>
        <w:szCs w:val="24"/>
        <w:vertAlign w:val="baseline"/>
      </w:rPr>
    </w:lvl>
    <w:lvl w:ilvl="1">
      <w:start w:val="1"/>
      <w:numFmt w:val="decimal"/>
      <w:pStyle w:val="Kop2"/>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4" w15:restartNumberingAfterBreak="0">
    <w:nsid w:val="614D0124"/>
    <w:multiLevelType w:val="multilevel"/>
    <w:tmpl w:val="F22C1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37"/>
    <w:rsid w:val="000031D9"/>
    <w:rsid w:val="00003A7C"/>
    <w:rsid w:val="00023930"/>
    <w:rsid w:val="000453F2"/>
    <w:rsid w:val="00054A73"/>
    <w:rsid w:val="00056D7F"/>
    <w:rsid w:val="00060785"/>
    <w:rsid w:val="00063867"/>
    <w:rsid w:val="0006702A"/>
    <w:rsid w:val="00071ADE"/>
    <w:rsid w:val="00073917"/>
    <w:rsid w:val="00073A53"/>
    <w:rsid w:val="000B58BE"/>
    <w:rsid w:val="000B5A4F"/>
    <w:rsid w:val="000B717D"/>
    <w:rsid w:val="000E55E3"/>
    <w:rsid w:val="000E6237"/>
    <w:rsid w:val="000F2EBB"/>
    <w:rsid w:val="000F3E0C"/>
    <w:rsid w:val="000F5856"/>
    <w:rsid w:val="00116504"/>
    <w:rsid w:val="001206C9"/>
    <w:rsid w:val="001346B9"/>
    <w:rsid w:val="00134B54"/>
    <w:rsid w:val="00136AA5"/>
    <w:rsid w:val="00151AA2"/>
    <w:rsid w:val="0015621B"/>
    <w:rsid w:val="00156CAC"/>
    <w:rsid w:val="001766B3"/>
    <w:rsid w:val="00176F9B"/>
    <w:rsid w:val="00182C86"/>
    <w:rsid w:val="001A3FFF"/>
    <w:rsid w:val="001A663D"/>
    <w:rsid w:val="001A6DC7"/>
    <w:rsid w:val="001B07AB"/>
    <w:rsid w:val="001B07D3"/>
    <w:rsid w:val="001B630B"/>
    <w:rsid w:val="001D35DC"/>
    <w:rsid w:val="001D4C0D"/>
    <w:rsid w:val="001D4EDE"/>
    <w:rsid w:val="001E0678"/>
    <w:rsid w:val="001F2372"/>
    <w:rsid w:val="001F5E76"/>
    <w:rsid w:val="00213A9E"/>
    <w:rsid w:val="00226B3C"/>
    <w:rsid w:val="00226F37"/>
    <w:rsid w:val="0023410A"/>
    <w:rsid w:val="00240245"/>
    <w:rsid w:val="00244BC3"/>
    <w:rsid w:val="0024505F"/>
    <w:rsid w:val="0024595D"/>
    <w:rsid w:val="00264F7C"/>
    <w:rsid w:val="00266B03"/>
    <w:rsid w:val="002742B6"/>
    <w:rsid w:val="00287385"/>
    <w:rsid w:val="00290E44"/>
    <w:rsid w:val="002967D4"/>
    <w:rsid w:val="002A0515"/>
    <w:rsid w:val="002A18D2"/>
    <w:rsid w:val="002B4E76"/>
    <w:rsid w:val="002C57FD"/>
    <w:rsid w:val="002D0101"/>
    <w:rsid w:val="002D7F99"/>
    <w:rsid w:val="002F3850"/>
    <w:rsid w:val="00300F14"/>
    <w:rsid w:val="003065A7"/>
    <w:rsid w:val="00314752"/>
    <w:rsid w:val="00317F95"/>
    <w:rsid w:val="003259C5"/>
    <w:rsid w:val="00333DED"/>
    <w:rsid w:val="0033523A"/>
    <w:rsid w:val="00353503"/>
    <w:rsid w:val="00353786"/>
    <w:rsid w:val="0036248C"/>
    <w:rsid w:val="00366EE6"/>
    <w:rsid w:val="00396217"/>
    <w:rsid w:val="003A33E1"/>
    <w:rsid w:val="003A49CE"/>
    <w:rsid w:val="003B59ED"/>
    <w:rsid w:val="003B6E5D"/>
    <w:rsid w:val="003C5289"/>
    <w:rsid w:val="003C5B41"/>
    <w:rsid w:val="003D2932"/>
    <w:rsid w:val="003D56F8"/>
    <w:rsid w:val="003F7466"/>
    <w:rsid w:val="00402E9F"/>
    <w:rsid w:val="004041D0"/>
    <w:rsid w:val="0040763F"/>
    <w:rsid w:val="00417B4E"/>
    <w:rsid w:val="00443B5E"/>
    <w:rsid w:val="0044567D"/>
    <w:rsid w:val="00456377"/>
    <w:rsid w:val="00492AD6"/>
    <w:rsid w:val="004A26B6"/>
    <w:rsid w:val="004B728A"/>
    <w:rsid w:val="004B7801"/>
    <w:rsid w:val="004C50E5"/>
    <w:rsid w:val="004C540C"/>
    <w:rsid w:val="004F7DD0"/>
    <w:rsid w:val="0050018C"/>
    <w:rsid w:val="005072F6"/>
    <w:rsid w:val="005117B3"/>
    <w:rsid w:val="0054595C"/>
    <w:rsid w:val="00555FD8"/>
    <w:rsid w:val="00564C1C"/>
    <w:rsid w:val="00594691"/>
    <w:rsid w:val="00594AF3"/>
    <w:rsid w:val="00597217"/>
    <w:rsid w:val="005A136E"/>
    <w:rsid w:val="005C4037"/>
    <w:rsid w:val="005C4341"/>
    <w:rsid w:val="005E3FB6"/>
    <w:rsid w:val="005F068D"/>
    <w:rsid w:val="005F259A"/>
    <w:rsid w:val="005F45E0"/>
    <w:rsid w:val="00600A0A"/>
    <w:rsid w:val="00612B76"/>
    <w:rsid w:val="00622578"/>
    <w:rsid w:val="00623503"/>
    <w:rsid w:val="00623E9E"/>
    <w:rsid w:val="006318B7"/>
    <w:rsid w:val="0065637B"/>
    <w:rsid w:val="00662AFC"/>
    <w:rsid w:val="006753FF"/>
    <w:rsid w:val="00677274"/>
    <w:rsid w:val="00680611"/>
    <w:rsid w:val="006823B9"/>
    <w:rsid w:val="006864BC"/>
    <w:rsid w:val="006A1310"/>
    <w:rsid w:val="006A5049"/>
    <w:rsid w:val="006A6F01"/>
    <w:rsid w:val="006A7E4B"/>
    <w:rsid w:val="006B0BA2"/>
    <w:rsid w:val="006B215B"/>
    <w:rsid w:val="006C00D8"/>
    <w:rsid w:val="006C0D03"/>
    <w:rsid w:val="006C112F"/>
    <w:rsid w:val="006C2907"/>
    <w:rsid w:val="006C497A"/>
    <w:rsid w:val="006C6CA5"/>
    <w:rsid w:val="006D5439"/>
    <w:rsid w:val="006F2366"/>
    <w:rsid w:val="006F38D2"/>
    <w:rsid w:val="00705F48"/>
    <w:rsid w:val="00707E1A"/>
    <w:rsid w:val="00725D17"/>
    <w:rsid w:val="007276FD"/>
    <w:rsid w:val="0073224A"/>
    <w:rsid w:val="00744C25"/>
    <w:rsid w:val="00745176"/>
    <w:rsid w:val="00746012"/>
    <w:rsid w:val="00755892"/>
    <w:rsid w:val="007636E3"/>
    <w:rsid w:val="00763A60"/>
    <w:rsid w:val="00773017"/>
    <w:rsid w:val="007876D4"/>
    <w:rsid w:val="0079459E"/>
    <w:rsid w:val="007A21C5"/>
    <w:rsid w:val="007D4E51"/>
    <w:rsid w:val="007D5526"/>
    <w:rsid w:val="008051FF"/>
    <w:rsid w:val="00813C90"/>
    <w:rsid w:val="00842FFE"/>
    <w:rsid w:val="00847DE8"/>
    <w:rsid w:val="00857CB8"/>
    <w:rsid w:val="008600A1"/>
    <w:rsid w:val="00874A7A"/>
    <w:rsid w:val="008862DE"/>
    <w:rsid w:val="008863B1"/>
    <w:rsid w:val="008A14C2"/>
    <w:rsid w:val="008A4D41"/>
    <w:rsid w:val="008B2B65"/>
    <w:rsid w:val="008B3DEB"/>
    <w:rsid w:val="008C2B6D"/>
    <w:rsid w:val="008C39DA"/>
    <w:rsid w:val="008F2736"/>
    <w:rsid w:val="008F315C"/>
    <w:rsid w:val="008F3905"/>
    <w:rsid w:val="00900CA5"/>
    <w:rsid w:val="00906EBA"/>
    <w:rsid w:val="00910519"/>
    <w:rsid w:val="00914BA1"/>
    <w:rsid w:val="00921CC6"/>
    <w:rsid w:val="009531AB"/>
    <w:rsid w:val="00963BBD"/>
    <w:rsid w:val="00971641"/>
    <w:rsid w:val="009746D0"/>
    <w:rsid w:val="00976CD1"/>
    <w:rsid w:val="009865F1"/>
    <w:rsid w:val="00986838"/>
    <w:rsid w:val="00987069"/>
    <w:rsid w:val="00991B59"/>
    <w:rsid w:val="009A43A1"/>
    <w:rsid w:val="009A6135"/>
    <w:rsid w:val="009B3D18"/>
    <w:rsid w:val="009D7312"/>
    <w:rsid w:val="009E1DEE"/>
    <w:rsid w:val="009E32D8"/>
    <w:rsid w:val="009F5A3E"/>
    <w:rsid w:val="009F5A4B"/>
    <w:rsid w:val="00A0163F"/>
    <w:rsid w:val="00A03F7F"/>
    <w:rsid w:val="00A10135"/>
    <w:rsid w:val="00A137BB"/>
    <w:rsid w:val="00A171BB"/>
    <w:rsid w:val="00A24250"/>
    <w:rsid w:val="00A316B9"/>
    <w:rsid w:val="00A32BC4"/>
    <w:rsid w:val="00A334F6"/>
    <w:rsid w:val="00A35FA7"/>
    <w:rsid w:val="00A41F4E"/>
    <w:rsid w:val="00A44D01"/>
    <w:rsid w:val="00A80372"/>
    <w:rsid w:val="00A80AAC"/>
    <w:rsid w:val="00A81E0A"/>
    <w:rsid w:val="00A85BA0"/>
    <w:rsid w:val="00A92D1F"/>
    <w:rsid w:val="00AB5F4B"/>
    <w:rsid w:val="00AC51AE"/>
    <w:rsid w:val="00AF45B5"/>
    <w:rsid w:val="00AF6D85"/>
    <w:rsid w:val="00B014DE"/>
    <w:rsid w:val="00B05C8C"/>
    <w:rsid w:val="00B13B6D"/>
    <w:rsid w:val="00B247DC"/>
    <w:rsid w:val="00B44047"/>
    <w:rsid w:val="00B44EC0"/>
    <w:rsid w:val="00B521B9"/>
    <w:rsid w:val="00B52403"/>
    <w:rsid w:val="00B612D5"/>
    <w:rsid w:val="00B7378C"/>
    <w:rsid w:val="00B73F5F"/>
    <w:rsid w:val="00B7581F"/>
    <w:rsid w:val="00B83604"/>
    <w:rsid w:val="00B91FC7"/>
    <w:rsid w:val="00BA496E"/>
    <w:rsid w:val="00BA7127"/>
    <w:rsid w:val="00BC1CAB"/>
    <w:rsid w:val="00BC212C"/>
    <w:rsid w:val="00BC2534"/>
    <w:rsid w:val="00BD3CC1"/>
    <w:rsid w:val="00BD3E2E"/>
    <w:rsid w:val="00BE371D"/>
    <w:rsid w:val="00BF6BF2"/>
    <w:rsid w:val="00BF78AF"/>
    <w:rsid w:val="00C04F49"/>
    <w:rsid w:val="00C21524"/>
    <w:rsid w:val="00C21D77"/>
    <w:rsid w:val="00C23497"/>
    <w:rsid w:val="00C321E7"/>
    <w:rsid w:val="00C35B16"/>
    <w:rsid w:val="00C40FBD"/>
    <w:rsid w:val="00C41266"/>
    <w:rsid w:val="00C41486"/>
    <w:rsid w:val="00C43B4A"/>
    <w:rsid w:val="00C534E0"/>
    <w:rsid w:val="00C73314"/>
    <w:rsid w:val="00C82119"/>
    <w:rsid w:val="00C864DC"/>
    <w:rsid w:val="00C92AE2"/>
    <w:rsid w:val="00CA4878"/>
    <w:rsid w:val="00CA7E9D"/>
    <w:rsid w:val="00CB13E8"/>
    <w:rsid w:val="00CC1666"/>
    <w:rsid w:val="00CC39BC"/>
    <w:rsid w:val="00CE4CE4"/>
    <w:rsid w:val="00CE5F0A"/>
    <w:rsid w:val="00D02320"/>
    <w:rsid w:val="00D035D8"/>
    <w:rsid w:val="00D11B44"/>
    <w:rsid w:val="00D22CFE"/>
    <w:rsid w:val="00D33787"/>
    <w:rsid w:val="00D3581F"/>
    <w:rsid w:val="00D76992"/>
    <w:rsid w:val="00D81897"/>
    <w:rsid w:val="00D9031C"/>
    <w:rsid w:val="00D92084"/>
    <w:rsid w:val="00D952E3"/>
    <w:rsid w:val="00D97A1A"/>
    <w:rsid w:val="00DC50E2"/>
    <w:rsid w:val="00DC7228"/>
    <w:rsid w:val="00DD6B58"/>
    <w:rsid w:val="00DE7906"/>
    <w:rsid w:val="00E00A0F"/>
    <w:rsid w:val="00E05DE5"/>
    <w:rsid w:val="00E15BDB"/>
    <w:rsid w:val="00E16661"/>
    <w:rsid w:val="00E1772F"/>
    <w:rsid w:val="00E466B3"/>
    <w:rsid w:val="00E52C85"/>
    <w:rsid w:val="00E56619"/>
    <w:rsid w:val="00E66E7A"/>
    <w:rsid w:val="00E75D6B"/>
    <w:rsid w:val="00E87D75"/>
    <w:rsid w:val="00EB2B3B"/>
    <w:rsid w:val="00EC1914"/>
    <w:rsid w:val="00EC1B78"/>
    <w:rsid w:val="00EC570F"/>
    <w:rsid w:val="00EC7C69"/>
    <w:rsid w:val="00ED445E"/>
    <w:rsid w:val="00ED70C5"/>
    <w:rsid w:val="00F30926"/>
    <w:rsid w:val="00F5694F"/>
    <w:rsid w:val="00F64BE3"/>
    <w:rsid w:val="00F70A6F"/>
    <w:rsid w:val="00F71898"/>
    <w:rsid w:val="00F741F4"/>
    <w:rsid w:val="00F81602"/>
    <w:rsid w:val="00F90D34"/>
    <w:rsid w:val="00F965FC"/>
    <w:rsid w:val="00FA3BF2"/>
    <w:rsid w:val="00FA4D06"/>
    <w:rsid w:val="00FA7DDD"/>
    <w:rsid w:val="00FE0DD0"/>
    <w:rsid w:val="00FE527A"/>
    <w:rsid w:val="00FF0CE4"/>
    <w:rsid w:val="00FF3DD6"/>
    <w:rsid w:val="00FF5FD1"/>
    <w:rsid w:val="00FF7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98A5"/>
  <w15:docId w15:val="{3BE48EBC-A367-4072-9226-E9B96114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text"/>
    <w:qFormat/>
    <w:rsid w:val="009E32D8"/>
    <w:pPr>
      <w:spacing w:before="120" w:after="120"/>
    </w:pPr>
    <w:rPr>
      <w:sz w:val="24"/>
    </w:rPr>
  </w:style>
  <w:style w:type="paragraph" w:styleId="Kop1">
    <w:name w:val="heading 1"/>
    <w:basedOn w:val="Standaard"/>
    <w:next w:val="Standaard"/>
    <w:link w:val="Kop1Char"/>
    <w:uiPriority w:val="9"/>
    <w:rsid w:val="00E1772F"/>
    <w:pPr>
      <w:keepNext/>
      <w:keepLines/>
      <w:numPr>
        <w:numId w:val="1"/>
      </w:numPr>
      <w:spacing w:before="480" w:after="0"/>
      <w:outlineLvl w:val="0"/>
    </w:pPr>
    <w:rPr>
      <w:rFonts w:eastAsiaTheme="majorEastAsia" w:cstheme="majorBidi"/>
      <w:b/>
      <w:bCs/>
      <w:i/>
      <w:sz w:val="18"/>
      <w:szCs w:val="28"/>
    </w:rPr>
  </w:style>
  <w:style w:type="paragraph" w:styleId="Kop2">
    <w:name w:val="heading 2"/>
    <w:basedOn w:val="Standaard"/>
    <w:next w:val="Standaard"/>
    <w:link w:val="Kop2Char"/>
    <w:uiPriority w:val="9"/>
    <w:semiHidden/>
    <w:unhideWhenUsed/>
    <w:rsid w:val="00E1772F"/>
    <w:pPr>
      <w:keepNext/>
      <w:keepLines/>
      <w:numPr>
        <w:ilvl w:val="1"/>
        <w:numId w:val="1"/>
      </w:numPr>
      <w:spacing w:before="200" w:after="0"/>
      <w:outlineLvl w:val="1"/>
    </w:pPr>
    <w:rPr>
      <w:rFonts w:eastAsiaTheme="majorEastAsia" w:cstheme="majorBidi"/>
      <w:b/>
      <w:bCs/>
      <w:i/>
      <w:sz w:val="18"/>
      <w:szCs w:val="26"/>
    </w:rPr>
  </w:style>
  <w:style w:type="paragraph" w:styleId="Kop3">
    <w:name w:val="heading 3"/>
    <w:basedOn w:val="Standaard"/>
    <w:next w:val="Standaard"/>
    <w:link w:val="Kop3Char"/>
    <w:uiPriority w:val="9"/>
    <w:unhideWhenUsed/>
    <w:qFormat/>
    <w:rsid w:val="003C5B41"/>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469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94691"/>
    <w:rPr>
      <w:rFonts w:ascii="Verdana" w:hAnsi="Verdana"/>
      <w:sz w:val="20"/>
    </w:rPr>
  </w:style>
  <w:style w:type="paragraph" w:styleId="Voettekst">
    <w:name w:val="footer"/>
    <w:basedOn w:val="Standaard"/>
    <w:link w:val="VoettekstChar"/>
    <w:uiPriority w:val="99"/>
    <w:unhideWhenUsed/>
    <w:rsid w:val="0059469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94691"/>
    <w:rPr>
      <w:rFonts w:ascii="Verdana" w:hAnsi="Verdana"/>
      <w:sz w:val="20"/>
    </w:rPr>
  </w:style>
  <w:style w:type="paragraph" w:styleId="Ballontekst">
    <w:name w:val="Balloon Text"/>
    <w:basedOn w:val="Standaard"/>
    <w:link w:val="BallontekstChar"/>
    <w:uiPriority w:val="99"/>
    <w:semiHidden/>
    <w:unhideWhenUsed/>
    <w:rsid w:val="0059469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691"/>
    <w:rPr>
      <w:rFonts w:ascii="Tahoma" w:hAnsi="Tahoma" w:cs="Tahoma"/>
      <w:sz w:val="16"/>
      <w:szCs w:val="16"/>
    </w:rPr>
  </w:style>
  <w:style w:type="character" w:customStyle="1" w:styleId="Kop1Char">
    <w:name w:val="Kop 1 Char"/>
    <w:basedOn w:val="Standaardalinea-lettertype"/>
    <w:link w:val="Kop1"/>
    <w:uiPriority w:val="9"/>
    <w:rsid w:val="00E1772F"/>
    <w:rPr>
      <w:rFonts w:ascii="Verdana" w:eastAsiaTheme="majorEastAsia" w:hAnsi="Verdana" w:cstheme="majorBidi"/>
      <w:b/>
      <w:bCs/>
      <w:i/>
      <w:sz w:val="18"/>
      <w:szCs w:val="28"/>
    </w:rPr>
  </w:style>
  <w:style w:type="character" w:customStyle="1" w:styleId="Kop2Char">
    <w:name w:val="Kop 2 Char"/>
    <w:basedOn w:val="Standaardalinea-lettertype"/>
    <w:link w:val="Kop2"/>
    <w:uiPriority w:val="9"/>
    <w:semiHidden/>
    <w:rsid w:val="00E1772F"/>
    <w:rPr>
      <w:rFonts w:ascii="Verdana" w:eastAsiaTheme="majorEastAsia" w:hAnsi="Verdana" w:cstheme="majorBidi"/>
      <w:b/>
      <w:bCs/>
      <w:i/>
      <w:sz w:val="18"/>
      <w:szCs w:val="26"/>
    </w:rPr>
  </w:style>
  <w:style w:type="character" w:styleId="Hyperlink">
    <w:name w:val="Hyperlink"/>
    <w:basedOn w:val="Standaardalinea-lettertype"/>
    <w:uiPriority w:val="99"/>
    <w:unhideWhenUsed/>
    <w:rsid w:val="006C00D8"/>
    <w:rPr>
      <w:color w:val="0000FF" w:themeColor="hyperlink"/>
      <w:u w:val="single"/>
    </w:rPr>
  </w:style>
  <w:style w:type="table" w:styleId="Tabelraster">
    <w:name w:val="Table Grid"/>
    <w:basedOn w:val="Standaardtabel"/>
    <w:uiPriority w:val="59"/>
    <w:rsid w:val="00A1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arge">
    <w:name w:val="Title large"/>
    <w:basedOn w:val="Standaard"/>
    <w:link w:val="TitlelargeChar"/>
    <w:qFormat/>
    <w:rsid w:val="00F741F4"/>
    <w:pPr>
      <w:spacing w:before="0" w:after="0" w:line="23" w:lineRule="atLeast"/>
    </w:pPr>
    <w:rPr>
      <w:b/>
      <w:color w:val="00A0DD"/>
      <w:sz w:val="40"/>
      <w:szCs w:val="40"/>
    </w:rPr>
  </w:style>
  <w:style w:type="paragraph" w:customStyle="1" w:styleId="Titlesmall">
    <w:name w:val="Title small"/>
    <w:basedOn w:val="Standaard"/>
    <w:link w:val="TitlesmallChar"/>
    <w:qFormat/>
    <w:rsid w:val="00F741F4"/>
    <w:pPr>
      <w:spacing w:before="0" w:after="0" w:line="23" w:lineRule="atLeast"/>
    </w:pPr>
    <w:rPr>
      <w:b/>
      <w:color w:val="00A0DD"/>
      <w:sz w:val="28"/>
      <w:szCs w:val="28"/>
    </w:rPr>
  </w:style>
  <w:style w:type="character" w:customStyle="1" w:styleId="TitlelargeChar">
    <w:name w:val="Title large Char"/>
    <w:basedOn w:val="Standaardalinea-lettertype"/>
    <w:link w:val="Titlelarge"/>
    <w:rsid w:val="00F741F4"/>
    <w:rPr>
      <w:b/>
      <w:color w:val="00A0DD"/>
      <w:sz w:val="40"/>
      <w:szCs w:val="40"/>
    </w:rPr>
  </w:style>
  <w:style w:type="paragraph" w:customStyle="1" w:styleId="Introtitleextrasmall">
    <w:name w:val="Intro / title extra small"/>
    <w:basedOn w:val="Standaard"/>
    <w:link w:val="IntrotitleextrasmallChar"/>
    <w:qFormat/>
    <w:rsid w:val="00B91FC7"/>
    <w:pPr>
      <w:spacing w:before="0" w:after="0" w:line="23" w:lineRule="atLeast"/>
    </w:pPr>
    <w:rPr>
      <w:b/>
      <w:color w:val="494132"/>
      <w:sz w:val="26"/>
      <w:szCs w:val="26"/>
    </w:rPr>
  </w:style>
  <w:style w:type="character" w:customStyle="1" w:styleId="TitlesmallChar">
    <w:name w:val="Title small Char"/>
    <w:basedOn w:val="Standaardalinea-lettertype"/>
    <w:link w:val="Titlesmall"/>
    <w:rsid w:val="00F741F4"/>
    <w:rPr>
      <w:b/>
      <w:color w:val="00A0DD"/>
      <w:sz w:val="28"/>
      <w:szCs w:val="28"/>
    </w:rPr>
  </w:style>
  <w:style w:type="paragraph" w:customStyle="1" w:styleId="Heading">
    <w:name w:val="Heading"/>
    <w:basedOn w:val="Standaard"/>
    <w:link w:val="HeadingChar"/>
    <w:qFormat/>
    <w:rsid w:val="00B91FC7"/>
    <w:pPr>
      <w:spacing w:before="0" w:after="0" w:line="23" w:lineRule="atLeast"/>
      <w:jc w:val="right"/>
    </w:pPr>
    <w:rPr>
      <w:b/>
      <w:color w:val="00A0DD"/>
      <w:sz w:val="36"/>
      <w:szCs w:val="36"/>
    </w:rPr>
  </w:style>
  <w:style w:type="character" w:customStyle="1" w:styleId="IntrotitleextrasmallChar">
    <w:name w:val="Intro / title extra small Char"/>
    <w:basedOn w:val="Standaardalinea-lettertype"/>
    <w:link w:val="Introtitleextrasmall"/>
    <w:rsid w:val="00B91FC7"/>
    <w:rPr>
      <w:b/>
      <w:color w:val="494132"/>
      <w:sz w:val="26"/>
      <w:szCs w:val="26"/>
    </w:rPr>
  </w:style>
  <w:style w:type="character" w:customStyle="1" w:styleId="HeadingChar">
    <w:name w:val="Heading Char"/>
    <w:basedOn w:val="Standaardalinea-lettertype"/>
    <w:link w:val="Heading"/>
    <w:rsid w:val="00B91FC7"/>
    <w:rPr>
      <w:b/>
      <w:color w:val="00A0DD"/>
      <w:sz w:val="36"/>
      <w:szCs w:val="36"/>
    </w:rPr>
  </w:style>
  <w:style w:type="character" w:customStyle="1" w:styleId="Kop3Char">
    <w:name w:val="Kop 3 Char"/>
    <w:basedOn w:val="Standaardalinea-lettertype"/>
    <w:link w:val="Kop3"/>
    <w:uiPriority w:val="9"/>
    <w:rsid w:val="003C5B41"/>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3C5B41"/>
    <w:pPr>
      <w:spacing w:before="0" w:after="160" w:line="259" w:lineRule="auto"/>
      <w:ind w:left="720"/>
      <w:contextualSpacing/>
    </w:pPr>
    <w:rPr>
      <w:sz w:val="22"/>
    </w:rPr>
  </w:style>
  <w:style w:type="character" w:styleId="Verwijzingopmerking">
    <w:name w:val="annotation reference"/>
    <w:basedOn w:val="Standaardalinea-lettertype"/>
    <w:uiPriority w:val="99"/>
    <w:semiHidden/>
    <w:unhideWhenUsed/>
    <w:rsid w:val="003C5B41"/>
    <w:rPr>
      <w:sz w:val="16"/>
      <w:szCs w:val="16"/>
    </w:rPr>
  </w:style>
  <w:style w:type="paragraph" w:styleId="Tekstopmerking">
    <w:name w:val="annotation text"/>
    <w:basedOn w:val="Standaard"/>
    <w:link w:val="TekstopmerkingChar"/>
    <w:uiPriority w:val="99"/>
    <w:semiHidden/>
    <w:unhideWhenUsed/>
    <w:rsid w:val="003C5B41"/>
    <w:pPr>
      <w:spacing w:before="0"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3C5B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693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eBockGoodPlane\Desktop\templates\Sjabloon-Andere-Autre_2015011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madic\Documents\GoodPlanet\Greenkey\Excel%20absolute%20cijfers%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madic\Documents\GoodPlanet\Greenkey\Excel%20absolute%20cijfers%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omadic\Documents\GoodPlanet\Greenkey\Excel%20absolute%20cijfers%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v>Groene sleutels in Vlaanderen en Brussel</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'[Excel absolute cijfers 2019.xlsx]Blad1'!$D$1:$P$1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2019.xlsx]Blad1'!$B$165:$N$165</c:f>
              <c:numCache>
                <c:formatCode>0</c:formatCode>
                <c:ptCount val="13"/>
                <c:pt idx="0">
                  <c:v>9</c:v>
                </c:pt>
                <c:pt idx="1">
                  <c:v>20</c:v>
                </c:pt>
                <c:pt idx="2">
                  <c:v>51</c:v>
                </c:pt>
                <c:pt idx="3">
                  <c:v>65</c:v>
                </c:pt>
                <c:pt idx="4">
                  <c:v>70</c:v>
                </c:pt>
                <c:pt idx="5">
                  <c:v>89</c:v>
                </c:pt>
                <c:pt idx="6">
                  <c:v>100</c:v>
                </c:pt>
                <c:pt idx="7">
                  <c:v>105</c:v>
                </c:pt>
                <c:pt idx="8">
                  <c:v>108</c:v>
                </c:pt>
                <c:pt idx="9">
                  <c:v>120</c:v>
                </c:pt>
                <c:pt idx="10">
                  <c:v>123</c:v>
                </c:pt>
                <c:pt idx="11">
                  <c:v>129</c:v>
                </c:pt>
                <c:pt idx="12">
                  <c:v>141</c:v>
                </c:pt>
              </c:numCache>
            </c:numRef>
          </c:val>
          <c:smooth val="0"/>
          <c:extLst>
            <c:ext xmlns:c16="http://schemas.microsoft.com/office/drawing/2014/chart" uri="{C3380CC4-5D6E-409C-BE32-E72D297353CC}">
              <c16:uniqueId val="{00000000-0C04-4E1B-A5C2-7458C2CD343E}"/>
            </c:ext>
          </c:extLst>
        </c:ser>
        <c:dLbls>
          <c:showLegendKey val="0"/>
          <c:showVal val="0"/>
          <c:showCatName val="0"/>
          <c:showSerName val="0"/>
          <c:showPercent val="0"/>
          <c:showBubbleSize val="0"/>
        </c:dLbls>
        <c:marker val="1"/>
        <c:smooth val="0"/>
        <c:axId val="414755752"/>
        <c:axId val="414755424"/>
      </c:lineChart>
      <c:catAx>
        <c:axId val="414755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Jaartal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4755424"/>
        <c:crosses val="autoZero"/>
        <c:auto val="1"/>
        <c:lblAlgn val="ctr"/>
        <c:lblOffset val="100"/>
        <c:noMultiLvlLbl val="0"/>
      </c:catAx>
      <c:valAx>
        <c:axId val="414755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475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'[Excel absolute cijfers 2019.xlsx]Blad1'!$A$156</c:f>
              <c:strCache>
                <c:ptCount val="1"/>
                <c:pt idx="0">
                  <c:v>campings</c:v>
                </c:pt>
              </c:strCache>
            </c:strRef>
          </c:tx>
          <c:spPr>
            <a:solidFill>
              <a:schemeClr val="accent1"/>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2019.xlsx]Blad1'!$B$156:$N$156</c:f>
              <c:numCache>
                <c:formatCode>0</c:formatCode>
                <c:ptCount val="13"/>
                <c:pt idx="0">
                  <c:v>7</c:v>
                </c:pt>
                <c:pt idx="1">
                  <c:v>7</c:v>
                </c:pt>
                <c:pt idx="2">
                  <c:v>15</c:v>
                </c:pt>
                <c:pt idx="3">
                  <c:v>14</c:v>
                </c:pt>
                <c:pt idx="4">
                  <c:v>11</c:v>
                </c:pt>
                <c:pt idx="5">
                  <c:v>11</c:v>
                </c:pt>
                <c:pt idx="6">
                  <c:v>10</c:v>
                </c:pt>
                <c:pt idx="7">
                  <c:v>10</c:v>
                </c:pt>
                <c:pt idx="8">
                  <c:v>9</c:v>
                </c:pt>
                <c:pt idx="9">
                  <c:v>9</c:v>
                </c:pt>
                <c:pt idx="10">
                  <c:v>10</c:v>
                </c:pt>
                <c:pt idx="11">
                  <c:v>8</c:v>
                </c:pt>
                <c:pt idx="12">
                  <c:v>8</c:v>
                </c:pt>
              </c:numCache>
            </c:numRef>
          </c:val>
          <c:extLst>
            <c:ext xmlns:c16="http://schemas.microsoft.com/office/drawing/2014/chart" uri="{C3380CC4-5D6E-409C-BE32-E72D297353CC}">
              <c16:uniqueId val="{00000000-BDA9-4BA8-ADB8-B2DE9D53B80F}"/>
            </c:ext>
          </c:extLst>
        </c:ser>
        <c:ser>
          <c:idx val="1"/>
          <c:order val="1"/>
          <c:tx>
            <c:strRef>
              <c:f>'[Excel absolute cijfers 2019.xlsx]Blad1'!$A$157</c:f>
              <c:strCache>
                <c:ptCount val="1"/>
                <c:pt idx="0">
                  <c:v>vakantieparken</c:v>
                </c:pt>
              </c:strCache>
            </c:strRef>
          </c:tx>
          <c:spPr>
            <a:solidFill>
              <a:schemeClr val="accent2"/>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2019.xlsx]Blad1'!$B$157:$N$157</c:f>
              <c:numCache>
                <c:formatCode>0</c:formatCode>
                <c:ptCount val="13"/>
                <c:pt idx="0">
                  <c:v>2</c:v>
                </c:pt>
                <c:pt idx="1">
                  <c:v>2</c:v>
                </c:pt>
                <c:pt idx="2">
                  <c:v>3</c:v>
                </c:pt>
                <c:pt idx="3">
                  <c:v>3</c:v>
                </c:pt>
                <c:pt idx="4">
                  <c:v>4</c:v>
                </c:pt>
                <c:pt idx="5">
                  <c:v>1</c:v>
                </c:pt>
                <c:pt idx="6">
                  <c:v>1</c:v>
                </c:pt>
                <c:pt idx="7">
                  <c:v>1</c:v>
                </c:pt>
                <c:pt idx="8">
                  <c:v>0</c:v>
                </c:pt>
                <c:pt idx="9">
                  <c:v>1</c:v>
                </c:pt>
                <c:pt idx="10">
                  <c:v>1</c:v>
                </c:pt>
                <c:pt idx="11">
                  <c:v>2</c:v>
                </c:pt>
                <c:pt idx="12">
                  <c:v>6</c:v>
                </c:pt>
              </c:numCache>
            </c:numRef>
          </c:val>
          <c:extLst>
            <c:ext xmlns:c16="http://schemas.microsoft.com/office/drawing/2014/chart" uri="{C3380CC4-5D6E-409C-BE32-E72D297353CC}">
              <c16:uniqueId val="{00000001-BDA9-4BA8-ADB8-B2DE9D53B80F}"/>
            </c:ext>
          </c:extLst>
        </c:ser>
        <c:ser>
          <c:idx val="2"/>
          <c:order val="2"/>
          <c:tx>
            <c:strRef>
              <c:f>'[Excel absolute cijfers 2019.xlsx]Blad1'!$A$158</c:f>
              <c:strCache>
                <c:ptCount val="1"/>
                <c:pt idx="0">
                  <c:v>jeugdverblijven</c:v>
                </c:pt>
              </c:strCache>
            </c:strRef>
          </c:tx>
          <c:spPr>
            <a:solidFill>
              <a:schemeClr val="accent3"/>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2019.xlsx]Blad1'!$B$158:$N$158</c:f>
              <c:numCache>
                <c:formatCode>0</c:formatCode>
                <c:ptCount val="13"/>
                <c:pt idx="0">
                  <c:v>0</c:v>
                </c:pt>
                <c:pt idx="1">
                  <c:v>11</c:v>
                </c:pt>
                <c:pt idx="2">
                  <c:v>21</c:v>
                </c:pt>
                <c:pt idx="3">
                  <c:v>25</c:v>
                </c:pt>
                <c:pt idx="4">
                  <c:v>24</c:v>
                </c:pt>
                <c:pt idx="5">
                  <c:v>27</c:v>
                </c:pt>
                <c:pt idx="6">
                  <c:v>26</c:v>
                </c:pt>
                <c:pt idx="7">
                  <c:v>29</c:v>
                </c:pt>
                <c:pt idx="8">
                  <c:v>31</c:v>
                </c:pt>
                <c:pt idx="9">
                  <c:v>34</c:v>
                </c:pt>
                <c:pt idx="10">
                  <c:v>38</c:v>
                </c:pt>
                <c:pt idx="11">
                  <c:v>38</c:v>
                </c:pt>
                <c:pt idx="12">
                  <c:v>45</c:v>
                </c:pt>
              </c:numCache>
            </c:numRef>
          </c:val>
          <c:extLst>
            <c:ext xmlns:c16="http://schemas.microsoft.com/office/drawing/2014/chart" uri="{C3380CC4-5D6E-409C-BE32-E72D297353CC}">
              <c16:uniqueId val="{00000002-BDA9-4BA8-ADB8-B2DE9D53B80F}"/>
            </c:ext>
          </c:extLst>
        </c:ser>
        <c:ser>
          <c:idx val="3"/>
          <c:order val="3"/>
          <c:tx>
            <c:strRef>
              <c:f>'[Excel absolute cijfers 2019.xlsx]Blad1'!$A$159</c:f>
              <c:strCache>
                <c:ptCount val="1"/>
                <c:pt idx="0">
                  <c:v>hotels</c:v>
                </c:pt>
              </c:strCache>
            </c:strRef>
          </c:tx>
          <c:spPr>
            <a:solidFill>
              <a:schemeClr val="accent4"/>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2019.xlsx]Blad1'!$B$159:$N$159</c:f>
              <c:numCache>
                <c:formatCode>0</c:formatCode>
                <c:ptCount val="13"/>
                <c:pt idx="0">
                  <c:v>0</c:v>
                </c:pt>
                <c:pt idx="1">
                  <c:v>0</c:v>
                </c:pt>
                <c:pt idx="2">
                  <c:v>5</c:v>
                </c:pt>
                <c:pt idx="3">
                  <c:v>10</c:v>
                </c:pt>
                <c:pt idx="4">
                  <c:v>14</c:v>
                </c:pt>
                <c:pt idx="5">
                  <c:v>24</c:v>
                </c:pt>
                <c:pt idx="6">
                  <c:v>28</c:v>
                </c:pt>
                <c:pt idx="7">
                  <c:v>29</c:v>
                </c:pt>
                <c:pt idx="8">
                  <c:v>33</c:v>
                </c:pt>
                <c:pt idx="9">
                  <c:v>38</c:v>
                </c:pt>
                <c:pt idx="10">
                  <c:v>36</c:v>
                </c:pt>
                <c:pt idx="11">
                  <c:v>38</c:v>
                </c:pt>
                <c:pt idx="12">
                  <c:v>40</c:v>
                </c:pt>
              </c:numCache>
            </c:numRef>
          </c:val>
          <c:extLst>
            <c:ext xmlns:c16="http://schemas.microsoft.com/office/drawing/2014/chart" uri="{C3380CC4-5D6E-409C-BE32-E72D297353CC}">
              <c16:uniqueId val="{00000003-BDA9-4BA8-ADB8-B2DE9D53B80F}"/>
            </c:ext>
          </c:extLst>
        </c:ser>
        <c:ser>
          <c:idx val="4"/>
          <c:order val="4"/>
          <c:tx>
            <c:strRef>
              <c:f>'[Excel absolute cijfers 2019.xlsx]Blad1'!$A$160</c:f>
              <c:strCache>
                <c:ptCount val="1"/>
                <c:pt idx="0">
                  <c:v>gastenkamers</c:v>
                </c:pt>
              </c:strCache>
            </c:strRef>
          </c:tx>
          <c:spPr>
            <a:solidFill>
              <a:schemeClr val="accent5"/>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2019.xlsx]Blad1'!$B$160:$N$160</c:f>
              <c:numCache>
                <c:formatCode>0</c:formatCode>
                <c:ptCount val="13"/>
                <c:pt idx="0">
                  <c:v>0</c:v>
                </c:pt>
                <c:pt idx="1">
                  <c:v>0</c:v>
                </c:pt>
                <c:pt idx="2">
                  <c:v>7</c:v>
                </c:pt>
                <c:pt idx="3">
                  <c:v>9</c:v>
                </c:pt>
                <c:pt idx="4">
                  <c:v>11</c:v>
                </c:pt>
                <c:pt idx="5">
                  <c:v>11</c:v>
                </c:pt>
                <c:pt idx="6">
                  <c:v>11</c:v>
                </c:pt>
                <c:pt idx="7">
                  <c:v>9</c:v>
                </c:pt>
                <c:pt idx="8">
                  <c:v>8</c:v>
                </c:pt>
                <c:pt idx="9">
                  <c:v>10</c:v>
                </c:pt>
                <c:pt idx="10">
                  <c:v>11</c:v>
                </c:pt>
                <c:pt idx="11">
                  <c:v>10</c:v>
                </c:pt>
                <c:pt idx="12">
                  <c:v>8</c:v>
                </c:pt>
              </c:numCache>
            </c:numRef>
          </c:val>
          <c:extLst>
            <c:ext xmlns:c16="http://schemas.microsoft.com/office/drawing/2014/chart" uri="{C3380CC4-5D6E-409C-BE32-E72D297353CC}">
              <c16:uniqueId val="{00000004-BDA9-4BA8-ADB8-B2DE9D53B80F}"/>
            </c:ext>
          </c:extLst>
        </c:ser>
        <c:ser>
          <c:idx val="5"/>
          <c:order val="5"/>
          <c:tx>
            <c:strRef>
              <c:f>'[Excel absolute cijfers 2019.xlsx]Blad1'!$A$161</c:f>
              <c:strCache>
                <c:ptCount val="1"/>
                <c:pt idx="0">
                  <c:v>attracties</c:v>
                </c:pt>
              </c:strCache>
            </c:strRef>
          </c:tx>
          <c:spPr>
            <a:solidFill>
              <a:schemeClr val="accent6"/>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2019.xlsx]Blad1'!$B$161:$N$161</c:f>
              <c:numCache>
                <c:formatCode>0</c:formatCode>
                <c:ptCount val="13"/>
                <c:pt idx="0">
                  <c:v>0</c:v>
                </c:pt>
                <c:pt idx="1">
                  <c:v>0</c:v>
                </c:pt>
                <c:pt idx="2">
                  <c:v>0</c:v>
                </c:pt>
                <c:pt idx="3">
                  <c:v>4</c:v>
                </c:pt>
                <c:pt idx="4">
                  <c:v>6</c:v>
                </c:pt>
                <c:pt idx="5">
                  <c:v>8</c:v>
                </c:pt>
                <c:pt idx="6">
                  <c:v>9</c:v>
                </c:pt>
                <c:pt idx="7">
                  <c:v>11</c:v>
                </c:pt>
                <c:pt idx="8">
                  <c:v>10</c:v>
                </c:pt>
                <c:pt idx="9">
                  <c:v>10</c:v>
                </c:pt>
                <c:pt idx="10">
                  <c:v>10</c:v>
                </c:pt>
                <c:pt idx="11">
                  <c:v>8</c:v>
                </c:pt>
                <c:pt idx="12">
                  <c:v>7</c:v>
                </c:pt>
              </c:numCache>
            </c:numRef>
          </c:val>
          <c:extLst>
            <c:ext xmlns:c16="http://schemas.microsoft.com/office/drawing/2014/chart" uri="{C3380CC4-5D6E-409C-BE32-E72D297353CC}">
              <c16:uniqueId val="{00000005-BDA9-4BA8-ADB8-B2DE9D53B80F}"/>
            </c:ext>
          </c:extLst>
        </c:ser>
        <c:ser>
          <c:idx val="6"/>
          <c:order val="6"/>
          <c:tx>
            <c:strRef>
              <c:f>'[Excel absolute cijfers 2019.xlsx]Blad1'!$A$162</c:f>
              <c:strCache>
                <c:ptCount val="1"/>
                <c:pt idx="0">
                  <c:v>meetinglocaties</c:v>
                </c:pt>
              </c:strCache>
            </c:strRef>
          </c:tx>
          <c:spPr>
            <a:solidFill>
              <a:schemeClr val="accent1">
                <a:lumMod val="60000"/>
              </a:schemeClr>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2019.xlsx]Blad1'!$B$162:$N$162</c:f>
              <c:numCache>
                <c:formatCode>0</c:formatCode>
                <c:ptCount val="13"/>
                <c:pt idx="0">
                  <c:v>0</c:v>
                </c:pt>
                <c:pt idx="1">
                  <c:v>0</c:v>
                </c:pt>
                <c:pt idx="2">
                  <c:v>0</c:v>
                </c:pt>
                <c:pt idx="3">
                  <c:v>0</c:v>
                </c:pt>
                <c:pt idx="4">
                  <c:v>0</c:v>
                </c:pt>
                <c:pt idx="5">
                  <c:v>7</c:v>
                </c:pt>
                <c:pt idx="6">
                  <c:v>13</c:v>
                </c:pt>
                <c:pt idx="7">
                  <c:v>14</c:v>
                </c:pt>
                <c:pt idx="8">
                  <c:v>15</c:v>
                </c:pt>
                <c:pt idx="9">
                  <c:v>16</c:v>
                </c:pt>
                <c:pt idx="10">
                  <c:v>13</c:v>
                </c:pt>
                <c:pt idx="11">
                  <c:v>13</c:v>
                </c:pt>
                <c:pt idx="12">
                  <c:v>14</c:v>
                </c:pt>
              </c:numCache>
            </c:numRef>
          </c:val>
          <c:extLst>
            <c:ext xmlns:c16="http://schemas.microsoft.com/office/drawing/2014/chart" uri="{C3380CC4-5D6E-409C-BE32-E72D297353CC}">
              <c16:uniqueId val="{00000006-BDA9-4BA8-ADB8-B2DE9D53B80F}"/>
            </c:ext>
          </c:extLst>
        </c:ser>
        <c:ser>
          <c:idx val="7"/>
          <c:order val="7"/>
          <c:tx>
            <c:strRef>
              <c:f>'[Excel absolute cijfers 2019.xlsx]Blad1'!$A$163</c:f>
              <c:strCache>
                <c:ptCount val="1"/>
                <c:pt idx="0">
                  <c:v>vakantiewoning</c:v>
                </c:pt>
              </c:strCache>
            </c:strRef>
          </c:tx>
          <c:spPr>
            <a:solidFill>
              <a:schemeClr val="accent2">
                <a:lumMod val="60000"/>
              </a:schemeClr>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2019.xlsx]Blad1'!$B$163:$N$163</c:f>
              <c:numCache>
                <c:formatCode>0</c:formatCode>
                <c:ptCount val="13"/>
                <c:pt idx="0">
                  <c:v>0</c:v>
                </c:pt>
                <c:pt idx="1">
                  <c:v>0</c:v>
                </c:pt>
                <c:pt idx="2">
                  <c:v>0</c:v>
                </c:pt>
                <c:pt idx="3">
                  <c:v>0</c:v>
                </c:pt>
                <c:pt idx="4">
                  <c:v>0</c:v>
                </c:pt>
                <c:pt idx="5">
                  <c:v>0</c:v>
                </c:pt>
                <c:pt idx="6">
                  <c:v>2</c:v>
                </c:pt>
                <c:pt idx="7">
                  <c:v>2</c:v>
                </c:pt>
                <c:pt idx="8">
                  <c:v>2</c:v>
                </c:pt>
                <c:pt idx="9">
                  <c:v>2</c:v>
                </c:pt>
                <c:pt idx="10">
                  <c:v>4</c:v>
                </c:pt>
                <c:pt idx="11">
                  <c:v>9</c:v>
                </c:pt>
                <c:pt idx="12">
                  <c:v>8</c:v>
                </c:pt>
              </c:numCache>
            </c:numRef>
          </c:val>
          <c:extLst>
            <c:ext xmlns:c16="http://schemas.microsoft.com/office/drawing/2014/chart" uri="{C3380CC4-5D6E-409C-BE32-E72D297353CC}">
              <c16:uniqueId val="{00000007-BDA9-4BA8-ADB8-B2DE9D53B80F}"/>
            </c:ext>
          </c:extLst>
        </c:ser>
        <c:ser>
          <c:idx val="8"/>
          <c:order val="8"/>
          <c:tx>
            <c:strRef>
              <c:f>'[Excel absolute cijfers 2019.xlsx]Blad1'!$A$164</c:f>
              <c:strCache>
                <c:ptCount val="1"/>
                <c:pt idx="0">
                  <c:v>restaurants (vanaf 2018)</c:v>
                </c:pt>
              </c:strCache>
            </c:strRef>
          </c:tx>
          <c:spPr>
            <a:solidFill>
              <a:schemeClr val="accent3">
                <a:lumMod val="60000"/>
              </a:schemeClr>
            </a:solidFill>
            <a:ln>
              <a:noFill/>
            </a:ln>
            <a:effectLst/>
          </c:spPr>
          <c:invertIfNegative val="0"/>
          <c:cat>
            <c:numRef>
              <c:f>'[Excel absolute cijfers 2019.xlsx]Blad1'!$B$155:$N$155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'[Excel absolute cijfers 2019.xlsx]Blad1'!$B$164:$N$164</c:f>
              <c:numCache>
                <c:formatCode>0</c:formatCode>
                <c:ptCount val="13"/>
                <c:pt idx="0">
                  <c:v>0</c:v>
                </c:pt>
                <c:pt idx="1">
                  <c:v>0</c:v>
                </c:pt>
                <c:pt idx="2">
                  <c:v>0</c:v>
                </c:pt>
                <c:pt idx="3">
                  <c:v>0</c:v>
                </c:pt>
                <c:pt idx="4">
                  <c:v>0</c:v>
                </c:pt>
                <c:pt idx="5">
                  <c:v>0</c:v>
                </c:pt>
                <c:pt idx="6">
                  <c:v>0</c:v>
                </c:pt>
                <c:pt idx="7">
                  <c:v>0</c:v>
                </c:pt>
                <c:pt idx="8">
                  <c:v>0</c:v>
                </c:pt>
                <c:pt idx="9">
                  <c:v>0</c:v>
                </c:pt>
                <c:pt idx="10">
                  <c:v>0</c:v>
                </c:pt>
                <c:pt idx="11">
                  <c:v>3</c:v>
                </c:pt>
                <c:pt idx="12">
                  <c:v>5</c:v>
                </c:pt>
              </c:numCache>
            </c:numRef>
          </c:val>
          <c:extLst>
            <c:ext xmlns:c16="http://schemas.microsoft.com/office/drawing/2014/chart" uri="{C3380CC4-5D6E-409C-BE32-E72D297353CC}">
              <c16:uniqueId val="{00000008-BDA9-4BA8-ADB8-B2DE9D53B80F}"/>
            </c:ext>
          </c:extLst>
        </c:ser>
        <c:dLbls>
          <c:showLegendKey val="0"/>
          <c:showVal val="0"/>
          <c:showCatName val="0"/>
          <c:showSerName val="0"/>
          <c:showPercent val="0"/>
          <c:showBubbleSize val="0"/>
        </c:dLbls>
        <c:gapWidth val="150"/>
        <c:overlap val="100"/>
        <c:axId val="510789672"/>
        <c:axId val="510789016"/>
      </c:barChart>
      <c:catAx>
        <c:axId val="510789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Jaartal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0789016"/>
        <c:crosses val="autoZero"/>
        <c:auto val="1"/>
        <c:lblAlgn val="ctr"/>
        <c:lblOffset val="100"/>
        <c:noMultiLvlLbl val="0"/>
      </c:catAx>
      <c:valAx>
        <c:axId val="510789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0789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EA-4DA8-96AF-5650125FB4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EA-4DA8-96AF-5650125FB4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EA-4DA8-96AF-5650125FB4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EA-4DA8-96AF-5650125FB4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EA-4DA8-96AF-5650125FB48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EA-4DA8-96AF-5650125FB48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2EA-4DA8-96AF-5650125FB48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2EA-4DA8-96AF-5650125FB48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2EA-4DA8-96AF-5650125FB4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'[Excel absolute cijfers 2019.xlsx]Blad1'!$A$156:$A$164</c:f>
              <c:strCache>
                <c:ptCount val="9"/>
                <c:pt idx="0">
                  <c:v>campings</c:v>
                </c:pt>
                <c:pt idx="1">
                  <c:v>vakantieparken</c:v>
                </c:pt>
                <c:pt idx="2">
                  <c:v>jeugdverblijven</c:v>
                </c:pt>
                <c:pt idx="3">
                  <c:v>hotels</c:v>
                </c:pt>
                <c:pt idx="4">
                  <c:v>gastenkamers</c:v>
                </c:pt>
                <c:pt idx="5">
                  <c:v>attracties</c:v>
                </c:pt>
                <c:pt idx="6">
                  <c:v>meetinglocaties</c:v>
                </c:pt>
                <c:pt idx="7">
                  <c:v>vakantiewoning</c:v>
                </c:pt>
                <c:pt idx="8">
                  <c:v>restaurants (vanaf 2018)</c:v>
                </c:pt>
              </c:strCache>
            </c:strRef>
          </c:cat>
          <c:val>
            <c:numRef>
              <c:f>'[Excel absolute cijfers 2019.xlsx]Blad1'!$N$156:$N$164</c:f>
              <c:numCache>
                <c:formatCode>0</c:formatCode>
                <c:ptCount val="9"/>
                <c:pt idx="0">
                  <c:v>8</c:v>
                </c:pt>
                <c:pt idx="1">
                  <c:v>6</c:v>
                </c:pt>
                <c:pt idx="2">
                  <c:v>45</c:v>
                </c:pt>
                <c:pt idx="3">
                  <c:v>40</c:v>
                </c:pt>
                <c:pt idx="4">
                  <c:v>8</c:v>
                </c:pt>
                <c:pt idx="5">
                  <c:v>7</c:v>
                </c:pt>
                <c:pt idx="6">
                  <c:v>14</c:v>
                </c:pt>
                <c:pt idx="7">
                  <c:v>8</c:v>
                </c:pt>
                <c:pt idx="8">
                  <c:v>5</c:v>
                </c:pt>
              </c:numCache>
            </c:numRef>
          </c:val>
          <c:extLst>
            <c:ext xmlns:c16="http://schemas.microsoft.com/office/drawing/2014/chart" uri="{C3380CC4-5D6E-409C-BE32-E72D297353CC}">
              <c16:uniqueId val="{00000012-E2EA-4DA8-96AF-5650125FB48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E9E06CC99F34C81067C92E8B47FD5" ma:contentTypeVersion="" ma:contentTypeDescription="Create a new document." ma:contentTypeScope="" ma:versionID="d3c0630a17faa35ec2616558148fce76">
  <xsd:schema xmlns:xsd="http://www.w3.org/2001/XMLSchema" xmlns:xs="http://www.w3.org/2001/XMLSchema" xmlns:p="http://schemas.microsoft.com/office/2006/metadata/properties" xmlns:ns2="035bf915-1ca1-4858-a17f-c9455c9e480b" xmlns:ns3="ab79bae5-3954-4fc6-b5c7-a632e027fd35" xmlns:ns4="6bf7c91a-ccd9-4813-86a3-12de301eb76b" targetNamespace="http://schemas.microsoft.com/office/2006/metadata/properties" ma:root="true" ma:fieldsID="2cd2fecae1e905f1aa0e9978d2a5927d" ns2:_="" ns3:_="" ns4:_="">
    <xsd:import namespace="035bf915-1ca1-4858-a17f-c9455c9e480b"/>
    <xsd:import namespace="ab79bae5-3954-4fc6-b5c7-a632e027fd35"/>
    <xsd:import namespace="6bf7c91a-ccd9-4813-86a3-12de301eb76b"/>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bf915-1ca1-4858-a17f-c9455c9e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f7c91a-ccd9-4813-86a3-12de301eb76b"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435D-1A53-42A3-94CE-79DC1F80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bf915-1ca1-4858-a17f-c9455c9e480b"/>
    <ds:schemaRef ds:uri="ab79bae5-3954-4fc6-b5c7-a632e027fd35"/>
    <ds:schemaRef ds:uri="6bf7c91a-ccd9-4813-86a3-12de301e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70DCF-43A2-40EB-BA54-535460FA65DC}">
  <ds:schemaRefs>
    <ds:schemaRef ds:uri="http://schemas.microsoft.com/sharepoint/v3/contenttype/forms"/>
  </ds:schemaRefs>
</ds:datastoreItem>
</file>

<file path=customXml/itemProps3.xml><?xml version="1.0" encoding="utf-8"?>
<ds:datastoreItem xmlns:ds="http://schemas.openxmlformats.org/officeDocument/2006/customXml" ds:itemID="{18A6BC71-4361-48EB-A07F-C3261B88B6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F8DE7E-F25B-4FAE-B28E-286D76B0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Sjabloon-Andere-Autre_20150112.dotx</Template>
  <TotalTime>0</TotalTime>
  <Pages>6</Pages>
  <Words>1447</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 Bock | GoodPlanet Belgium</dc:creator>
  <cp:lastModifiedBy>Geudens, Griet</cp:lastModifiedBy>
  <cp:revision>2</cp:revision>
  <cp:lastPrinted>2014-11-14T15:34:00Z</cp:lastPrinted>
  <dcterms:created xsi:type="dcterms:W3CDTF">2019-01-24T15:01:00Z</dcterms:created>
  <dcterms:modified xsi:type="dcterms:W3CDTF">2019-01-24T15:01:00Z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0x010100E4DE9E06CC99F34C81067C92E8B47FD5</vt:lpwstr>
  </property>
</Properties>
</file>